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FA11" w14:textId="77777777" w:rsidR="00AC0E88" w:rsidRDefault="006E139C">
      <w:pPr>
        <w:pStyle w:val="Titel"/>
      </w:pPr>
      <w:r>
        <w:t xml:space="preserve">Cicero, De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bonorum</w:t>
      </w:r>
      <w:proofErr w:type="spellEnd"/>
      <w:r>
        <w:t xml:space="preserve"> et </w:t>
      </w:r>
      <w:proofErr w:type="spellStart"/>
      <w:r>
        <w:t>malorum</w:t>
      </w:r>
      <w:proofErr w:type="spellEnd"/>
      <w:r>
        <w:t xml:space="preserve"> 2, 27</w:t>
      </w:r>
    </w:p>
    <w:p w14:paraId="4EA53CBC" w14:textId="77777777" w:rsidR="00AC0E88" w:rsidRDefault="006E139C">
      <w:pPr>
        <w:pStyle w:val="Textbody"/>
        <w:rPr>
          <w:i/>
          <w:iCs/>
        </w:rPr>
      </w:pPr>
      <w:r>
        <w:rPr>
          <w:i/>
          <w:iCs/>
        </w:rPr>
        <w:t>Epikur will die Begierden nur mäßigen – sie sind aber ganz abzulehnen!</w:t>
      </w:r>
    </w:p>
    <w:p w14:paraId="443B53BA" w14:textId="1B8D2A9A" w:rsidR="00F630D1" w:rsidRPr="00F630D1" w:rsidRDefault="00F630D1" w:rsidP="00F630D1">
      <w:pPr>
        <w:pStyle w:val="StandardWeb"/>
        <w:spacing w:after="62"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630D1">
        <w:rPr>
          <w:rFonts w:ascii="Arial" w:hAnsi="Arial" w:cs="Arial"/>
        </w:rPr>
        <w:t xml:space="preserve">n seiner Antwort auf die Thesen des Epikureers </w:t>
      </w:r>
      <w:proofErr w:type="spellStart"/>
      <w:r w:rsidRPr="00F630D1">
        <w:rPr>
          <w:rFonts w:ascii="Arial" w:hAnsi="Arial" w:cs="Arial"/>
        </w:rPr>
        <w:t>Torquatus</w:t>
      </w:r>
      <w:proofErr w:type="spellEnd"/>
      <w:r w:rsidRPr="00F630D1">
        <w:rPr>
          <w:rFonts w:ascii="Arial" w:hAnsi="Arial" w:cs="Arial"/>
        </w:rPr>
        <w:t xml:space="preserve"> aus dem 1. Buch von De </w:t>
      </w:r>
      <w:proofErr w:type="spellStart"/>
      <w:r w:rsidRPr="00F630D1">
        <w:rPr>
          <w:rFonts w:ascii="Arial" w:hAnsi="Arial" w:cs="Arial"/>
        </w:rPr>
        <w:t>finibus</w:t>
      </w:r>
      <w:proofErr w:type="spellEnd"/>
      <w:r w:rsidRPr="00F630D1">
        <w:rPr>
          <w:rFonts w:ascii="Arial" w:hAnsi="Arial" w:cs="Arial"/>
        </w:rPr>
        <w:t xml:space="preserve"> (vgl. </w:t>
      </w:r>
      <w:hyperlink r:id="rId7" w:anchor="oben" w:tgtFrame="_blank" w:history="1">
        <w:r w:rsidRPr="00F630D1">
          <w:rPr>
            <w:rStyle w:val="Hyperlink"/>
            <w:rFonts w:ascii="Arial" w:hAnsi="Arial" w:cs="Arial"/>
          </w:rPr>
          <w:t xml:space="preserve">De </w:t>
        </w:r>
        <w:proofErr w:type="spellStart"/>
        <w:r w:rsidRPr="00F630D1">
          <w:rPr>
            <w:rStyle w:val="Hyperlink"/>
            <w:rFonts w:ascii="Arial" w:hAnsi="Arial" w:cs="Arial"/>
          </w:rPr>
          <w:t>finibus</w:t>
        </w:r>
        <w:proofErr w:type="spellEnd"/>
        <w:r w:rsidRPr="00F630D1">
          <w:rPr>
            <w:rStyle w:val="Hyperlink"/>
            <w:rFonts w:ascii="Arial" w:hAnsi="Arial" w:cs="Arial"/>
          </w:rPr>
          <w:t xml:space="preserve"> 1, 42</w:t>
        </w:r>
      </w:hyperlink>
      <w:r w:rsidRPr="00F630D1">
        <w:rPr>
          <w:rFonts w:ascii="Arial" w:hAnsi="Arial" w:cs="Arial"/>
        </w:rPr>
        <w:t xml:space="preserve"> und </w:t>
      </w:r>
      <w:hyperlink r:id="rId8" w:history="1">
        <w:r w:rsidRPr="00F630D1">
          <w:rPr>
            <w:rStyle w:val="Hyperlink"/>
            <w:rFonts w:ascii="Arial" w:hAnsi="Arial" w:cs="Arial"/>
          </w:rPr>
          <w:t xml:space="preserve">De </w:t>
        </w:r>
        <w:proofErr w:type="spellStart"/>
        <w:r w:rsidRPr="00F630D1">
          <w:rPr>
            <w:rStyle w:val="Hyperlink"/>
            <w:rFonts w:ascii="Arial" w:hAnsi="Arial" w:cs="Arial"/>
          </w:rPr>
          <w:t>finibus</w:t>
        </w:r>
        <w:proofErr w:type="spellEnd"/>
        <w:r w:rsidRPr="00F630D1">
          <w:rPr>
            <w:rStyle w:val="Hyperlink"/>
            <w:rFonts w:ascii="Arial" w:hAnsi="Arial" w:cs="Arial"/>
          </w:rPr>
          <w:t xml:space="preserve"> 1, 43 f.</w:t>
        </w:r>
      </w:hyperlink>
      <w:r w:rsidRPr="00F630D1">
        <w:rPr>
          <w:rFonts w:ascii="Arial" w:hAnsi="Arial" w:cs="Arial"/>
        </w:rPr>
        <w:t>) bestreitet Cicero im 2. Buch, dass sich die Begierden (</w:t>
      </w:r>
      <w:proofErr w:type="spellStart"/>
      <w:r w:rsidRPr="00F630D1">
        <w:rPr>
          <w:rFonts w:ascii="Arial" w:hAnsi="Arial" w:cs="Arial"/>
        </w:rPr>
        <w:t>cupiditates</w:t>
      </w:r>
      <w:proofErr w:type="spellEnd"/>
      <w:r w:rsidRPr="00F630D1">
        <w:rPr>
          <w:rFonts w:ascii="Arial" w:hAnsi="Arial" w:cs="Arial"/>
        </w:rPr>
        <w:t>) begrenzen lassen. Vernünftig sei nur, sie ganz abzulehnen. Cicero kritisiert, dass Epikur den Begierden doch mehr Raum einräumt, als er zugibt.</w:t>
      </w:r>
    </w:p>
    <w:p w14:paraId="3307CCB4" w14:textId="77777777" w:rsidR="00F630D1" w:rsidRPr="00F630D1" w:rsidRDefault="00F630D1" w:rsidP="00F630D1">
      <w:pPr>
        <w:pStyle w:val="StandardWeb"/>
        <w:spacing w:line="360" w:lineRule="auto"/>
        <w:rPr>
          <w:rFonts w:ascii="Arial" w:hAnsi="Arial" w:cs="Arial"/>
        </w:rPr>
      </w:pPr>
      <w:r w:rsidRPr="00F630D1">
        <w:rPr>
          <w:rFonts w:ascii="Arial" w:hAnsi="Arial" w:cs="Arial"/>
        </w:rPr>
        <w:t xml:space="preserve">Grammatikthema: Tempus und Modus im Haupt- und Nebensatz (Siehe hierzu Grammatikhilfen: </w:t>
      </w:r>
      <w:hyperlink r:id="rId9" w:tgtFrame="_blank" w:history="1">
        <w:r w:rsidRPr="00F630D1">
          <w:rPr>
            <w:rStyle w:val="Hyperlink"/>
            <w:rFonts w:ascii="Arial" w:hAnsi="Arial" w:cs="Arial"/>
          </w:rPr>
          <w:t>Konjunktiv im Hauptsatz</w:t>
        </w:r>
      </w:hyperlink>
      <w:r w:rsidRPr="00F630D1">
        <w:rPr>
          <w:rFonts w:ascii="Arial" w:hAnsi="Arial" w:cs="Arial"/>
        </w:rPr>
        <w:t xml:space="preserve"> und </w:t>
      </w:r>
      <w:hyperlink r:id="rId10" w:tgtFrame="_blank" w:history="1">
        <w:r w:rsidRPr="00F630D1">
          <w:rPr>
            <w:rStyle w:val="Hyperlink"/>
            <w:rFonts w:ascii="Arial" w:hAnsi="Arial" w:cs="Arial"/>
          </w:rPr>
          <w:t>Konjunktiv im Nebensatz</w:t>
        </w:r>
      </w:hyperlink>
      <w:r w:rsidRPr="00F630D1">
        <w:rPr>
          <w:rFonts w:ascii="Arial" w:hAnsi="Arial" w:cs="Arial"/>
        </w:rPr>
        <w:t>).</w:t>
      </w:r>
    </w:p>
    <w:p w14:paraId="12388B21" w14:textId="1AFBAD7D" w:rsidR="00AC0E88" w:rsidRDefault="00AC0E88">
      <w:pPr>
        <w:pStyle w:val="Textbody"/>
      </w:pPr>
    </w:p>
    <w:tbl>
      <w:tblPr>
        <w:tblW w:w="9602" w:type="dxa"/>
        <w:tblInd w:w="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3"/>
        <w:gridCol w:w="4219"/>
      </w:tblGrid>
      <w:tr w:rsidR="00AC0E88" w14:paraId="695637D0" w14:textId="77777777">
        <w:trPr>
          <w:cantSplit/>
          <w:tblHeader/>
        </w:trPr>
        <w:tc>
          <w:tcPr>
            <w:tcW w:w="538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3E3074" w14:textId="77777777" w:rsidR="00AC0E88" w:rsidRPr="00F630D1" w:rsidRDefault="006E139C">
            <w:pPr>
              <w:pStyle w:val="TableContents"/>
              <w:spacing w:after="283"/>
              <w:jc w:val="center"/>
              <w:rPr>
                <w:rFonts w:ascii="Californian FB" w:hAnsi="Californian FB"/>
                <w:sz w:val="22"/>
                <w:szCs w:val="22"/>
                <w:lang w:val="la-Latn"/>
              </w:rPr>
            </w:pPr>
            <w:r w:rsidRPr="00F630D1">
              <w:rPr>
                <w:rFonts w:ascii="Californian FB" w:hAnsi="Californian FB"/>
                <w:sz w:val="22"/>
                <w:szCs w:val="22"/>
                <w:lang w:val="la-Latn"/>
              </w:rPr>
              <w:t>Text</w:t>
            </w:r>
          </w:p>
        </w:tc>
        <w:tc>
          <w:tcPr>
            <w:tcW w:w="421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D5A636" w14:textId="77777777" w:rsidR="00AC0E88" w:rsidRDefault="006E139C">
            <w:pPr>
              <w:pStyle w:val="TableContents"/>
              <w:spacing w:after="283"/>
              <w:jc w:val="center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Übersetzungshilfen</w:t>
            </w:r>
          </w:p>
        </w:tc>
      </w:tr>
      <w:tr w:rsidR="00AC0E88" w14:paraId="3695F7DD" w14:textId="77777777">
        <w:trPr>
          <w:cantSplit/>
        </w:trPr>
        <w:tc>
          <w:tcPr>
            <w:tcW w:w="5383" w:type="dxa"/>
            <w:tcBorders>
              <w:left w:val="single" w:sz="4" w:space="0" w:color="666666"/>
              <w:bottom w:val="single" w:sz="4" w:space="0" w:color="666666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A80A5E" w14:textId="77777777" w:rsidR="00AC0E88" w:rsidRPr="00F630D1" w:rsidRDefault="006E139C">
            <w:pPr>
              <w:pStyle w:val="TableContents"/>
              <w:spacing w:after="283"/>
              <w:rPr>
                <w:sz w:val="28"/>
                <w:szCs w:val="28"/>
                <w:lang w:val="la-Latn"/>
              </w:rPr>
            </w:pPr>
            <w:r w:rsidRPr="00F630D1">
              <w:rPr>
                <w:sz w:val="28"/>
                <w:szCs w:val="28"/>
                <w:lang w:val="la-Latn"/>
              </w:rPr>
              <w:t>Et quidem illud ipsum non nimium probo et tantum patior, philosophum loqui de cupiditatibus finiendis.</w:t>
            </w:r>
          </w:p>
          <w:p w14:paraId="48490F2D" w14:textId="20E1BB0F" w:rsidR="00FB6E59" w:rsidRPr="00FB6E59" w:rsidRDefault="006E139C" w:rsidP="00FB6E59">
            <w:pPr>
              <w:pStyle w:val="TableContents"/>
              <w:spacing w:after="283"/>
              <w:rPr>
                <w:lang w:val="la-Latn"/>
              </w:rPr>
            </w:pPr>
            <w:r w:rsidRPr="00F630D1">
              <w:rPr>
                <w:sz w:val="28"/>
                <w:szCs w:val="28"/>
                <w:lang w:val="la-Latn"/>
              </w:rPr>
              <w:t>An potest cupiditas finiri?</w:t>
            </w:r>
          </w:p>
          <w:p w14:paraId="68A28FE3" w14:textId="70D57727" w:rsidR="00FB6E59" w:rsidRPr="00FB6E59" w:rsidRDefault="00FB6E59" w:rsidP="00FB6E59">
            <w:pPr>
              <w:rPr>
                <w:lang w:val="la-Latn"/>
              </w:rPr>
            </w:pPr>
          </w:p>
        </w:tc>
        <w:tc>
          <w:tcPr>
            <w:tcW w:w="421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6A77E9" w14:textId="77777777" w:rsidR="00FB6E59" w:rsidRDefault="00FB6E59" w:rsidP="00FB6E59">
            <w:pPr>
              <w:pStyle w:val="vokabel"/>
            </w:pPr>
            <w:proofErr w:type="spellStart"/>
            <w:r>
              <w:t>quidem</w:t>
            </w:r>
            <w:proofErr w:type="spellEnd"/>
            <w:r>
              <w:t>: allerdings</w:t>
            </w:r>
          </w:p>
          <w:p w14:paraId="278725C6" w14:textId="77777777" w:rsidR="00FB6E59" w:rsidRPr="00FB6E59" w:rsidRDefault="00FB6E59" w:rsidP="00FB6E59">
            <w:pPr>
              <w:pStyle w:val="vokabel"/>
              <w:rPr>
                <w:i/>
                <w:iCs/>
              </w:rPr>
            </w:pPr>
            <w:proofErr w:type="spellStart"/>
            <w:r>
              <w:t>illud</w:t>
            </w:r>
            <w:proofErr w:type="spellEnd"/>
            <w:r>
              <w:t xml:space="preserve"> </w:t>
            </w:r>
            <w:proofErr w:type="spellStart"/>
            <w:r>
              <w:t>ipsum</w:t>
            </w:r>
            <w:proofErr w:type="spellEnd"/>
            <w:r>
              <w:t xml:space="preserve"> </w:t>
            </w:r>
            <w:r w:rsidRPr="00FB6E59">
              <w:rPr>
                <w:i/>
                <w:iCs/>
              </w:rPr>
              <w:t xml:space="preserve">bezieht sich auf den </w:t>
            </w:r>
            <w:proofErr w:type="spellStart"/>
            <w:r w:rsidRPr="00FB6E59">
              <w:rPr>
                <w:i/>
                <w:iCs/>
              </w:rPr>
              <w:t>AcI</w:t>
            </w:r>
            <w:proofErr w:type="spellEnd"/>
            <w:r w:rsidRPr="00FB6E59">
              <w:rPr>
                <w:i/>
                <w:iCs/>
              </w:rPr>
              <w:t xml:space="preserve"> nach dem Komma, der sich mit</w:t>
            </w:r>
            <w:r>
              <w:t xml:space="preserve"> „nämlich, dass …“ </w:t>
            </w:r>
            <w:r w:rsidRPr="00FB6E59">
              <w:rPr>
                <w:i/>
                <w:iCs/>
              </w:rPr>
              <w:t>anschließen lässt.</w:t>
            </w:r>
          </w:p>
          <w:p w14:paraId="06C0E7C9" w14:textId="77777777" w:rsidR="00FB6E59" w:rsidRDefault="00FB6E59" w:rsidP="00FB6E59">
            <w:pPr>
              <w:pStyle w:val="vokabel"/>
            </w:pPr>
            <w:proofErr w:type="spellStart"/>
            <w:r>
              <w:t>finīre</w:t>
            </w:r>
            <w:proofErr w:type="spellEnd"/>
            <w:r>
              <w:t xml:space="preserve"> </w:t>
            </w:r>
            <w:r w:rsidRPr="00FB6E59">
              <w:rPr>
                <w:i/>
                <w:iCs/>
              </w:rPr>
              <w:t>hier</w:t>
            </w:r>
            <w:r>
              <w:t>: begrenzen</w:t>
            </w:r>
          </w:p>
          <w:p w14:paraId="50506094" w14:textId="3188CF1B" w:rsidR="00AC0E88" w:rsidRDefault="00FB6E59" w:rsidP="00FB6E59">
            <w:pPr>
              <w:pStyle w:val="vokabel"/>
            </w:pPr>
            <w:proofErr w:type="spellStart"/>
            <w:r>
              <w:t>nōn</w:t>
            </w:r>
            <w:proofErr w:type="spellEnd"/>
            <w:r>
              <w:t xml:space="preserve"> </w:t>
            </w:r>
            <w:proofErr w:type="spellStart"/>
            <w:r>
              <w:t>nimium</w:t>
            </w:r>
            <w:proofErr w:type="spellEnd"/>
            <w:r>
              <w:t>: nicht allzu sehr</w:t>
            </w:r>
          </w:p>
        </w:tc>
      </w:tr>
      <w:tr w:rsidR="00AC0E88" w14:paraId="04CC46A3" w14:textId="77777777">
        <w:trPr>
          <w:cantSplit/>
        </w:trPr>
        <w:tc>
          <w:tcPr>
            <w:tcW w:w="5383" w:type="dxa"/>
            <w:tcBorders>
              <w:left w:val="single" w:sz="4" w:space="0" w:color="666666"/>
              <w:bottom w:val="single" w:sz="4" w:space="0" w:color="666666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52BAEB" w14:textId="77777777" w:rsidR="00AC0E88" w:rsidRPr="00F630D1" w:rsidRDefault="006E139C">
            <w:pPr>
              <w:pStyle w:val="TableContents"/>
              <w:spacing w:after="283"/>
              <w:rPr>
                <w:sz w:val="28"/>
                <w:szCs w:val="28"/>
                <w:lang w:val="la-Latn"/>
              </w:rPr>
            </w:pPr>
            <w:r w:rsidRPr="00F630D1">
              <w:rPr>
                <w:sz w:val="28"/>
                <w:szCs w:val="28"/>
                <w:lang w:val="la-Latn"/>
              </w:rPr>
              <w:t>Tollenda est atque extrahenda radicitus.</w:t>
            </w:r>
          </w:p>
          <w:p w14:paraId="2AD996D9" w14:textId="77777777" w:rsidR="00AC0E88" w:rsidRPr="00F630D1" w:rsidRDefault="006E139C">
            <w:pPr>
              <w:pStyle w:val="TableContents"/>
              <w:spacing w:after="283"/>
              <w:rPr>
                <w:sz w:val="28"/>
                <w:szCs w:val="28"/>
                <w:lang w:val="la-Latn"/>
              </w:rPr>
            </w:pPr>
            <w:r w:rsidRPr="00F630D1">
              <w:rPr>
                <w:sz w:val="28"/>
                <w:szCs w:val="28"/>
                <w:lang w:val="la-Latn"/>
              </w:rPr>
              <w:t>Quis est enim, in quo sit cupiditas, quin recte cupidus dici possit?</w:t>
            </w:r>
          </w:p>
          <w:p w14:paraId="0B932ABD" w14:textId="77777777" w:rsidR="00AC0E88" w:rsidRDefault="006E139C">
            <w:pPr>
              <w:pStyle w:val="TableContents"/>
              <w:spacing w:after="283"/>
              <w:rPr>
                <w:sz w:val="28"/>
                <w:szCs w:val="28"/>
                <w:lang w:val="la-Latn"/>
              </w:rPr>
            </w:pPr>
            <w:r w:rsidRPr="00F630D1">
              <w:rPr>
                <w:sz w:val="28"/>
                <w:szCs w:val="28"/>
                <w:lang w:val="la-Latn"/>
              </w:rPr>
              <w:t>Ergo et avarus erit, sed finite, et adulter, verum habebit modum, et luxuriosus eodem modo.</w:t>
            </w:r>
          </w:p>
          <w:p w14:paraId="787CD5A0" w14:textId="199508AB" w:rsidR="00FB6E59" w:rsidRPr="00FB6E59" w:rsidRDefault="00FB6E59" w:rsidP="00FB6E59">
            <w:pPr>
              <w:rPr>
                <w:lang w:val="la-Latn"/>
              </w:rPr>
            </w:pPr>
          </w:p>
        </w:tc>
        <w:tc>
          <w:tcPr>
            <w:tcW w:w="421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1C5050" w14:textId="77777777" w:rsidR="00AC0E88" w:rsidRDefault="006E139C">
            <w:pPr>
              <w:pStyle w:val="vokabel"/>
            </w:pPr>
            <w:r>
              <w:t>tollere: beseitigen</w:t>
            </w:r>
          </w:p>
          <w:p w14:paraId="2141EA33" w14:textId="77777777" w:rsidR="00AC0E88" w:rsidRDefault="006E139C">
            <w:pPr>
              <w:pStyle w:val="vokabel"/>
            </w:pPr>
            <w:proofErr w:type="spellStart"/>
            <w:r>
              <w:t>extrahere</w:t>
            </w:r>
            <w:proofErr w:type="spellEnd"/>
            <w:r>
              <w:t>: herausreißen</w:t>
            </w:r>
          </w:p>
          <w:p w14:paraId="78C277E5" w14:textId="77777777" w:rsidR="00AC0E88" w:rsidRDefault="006E139C">
            <w:pPr>
              <w:pStyle w:val="vokabel"/>
            </w:pPr>
            <w:proofErr w:type="spellStart"/>
            <w:r>
              <w:t>radicitus</w:t>
            </w:r>
            <w:proofErr w:type="spellEnd"/>
            <w:r>
              <w:t>: mit Stumpf und Stiel, mit der Wurzel</w:t>
            </w:r>
          </w:p>
          <w:p w14:paraId="577E966F" w14:textId="77777777" w:rsidR="00AC0E88" w:rsidRDefault="006E139C">
            <w:pPr>
              <w:pStyle w:val="vokabel"/>
            </w:pPr>
            <w:proofErr w:type="spellStart"/>
            <w:r>
              <w:t>quin</w:t>
            </w:r>
            <w:proofErr w:type="spellEnd"/>
            <w:r>
              <w:t xml:space="preserve"> ~ </w:t>
            </w:r>
            <w:proofErr w:type="spellStart"/>
            <w:r>
              <w:t>qui</w:t>
            </w:r>
            <w:proofErr w:type="spellEnd"/>
            <w:r>
              <w:t xml:space="preserve"> non</w:t>
            </w:r>
          </w:p>
          <w:p w14:paraId="2E5DFF1C" w14:textId="77777777" w:rsidR="00AC0E88" w:rsidRDefault="006E139C">
            <w:pPr>
              <w:pStyle w:val="vokabel"/>
            </w:pPr>
            <w:proofErr w:type="spellStart"/>
            <w:r>
              <w:t>avarus</w:t>
            </w:r>
            <w:proofErr w:type="spellEnd"/>
            <w:r>
              <w:t>: geizig, geldgierig</w:t>
            </w:r>
          </w:p>
          <w:p w14:paraId="6710A664" w14:textId="77777777" w:rsidR="00AC0E88" w:rsidRDefault="006E139C">
            <w:pPr>
              <w:pStyle w:val="vokabel"/>
            </w:pPr>
            <w:r>
              <w:t>adulter: der Ehebrecher;</w:t>
            </w:r>
            <w:r>
              <w:rPr>
                <w:i/>
                <w:iCs/>
              </w:rPr>
              <w:t xml:space="preserve"> als Adjektiv:</w:t>
            </w:r>
            <w:r>
              <w:t xml:space="preserve"> ehebrecherisch</w:t>
            </w:r>
          </w:p>
        </w:tc>
      </w:tr>
      <w:tr w:rsidR="00AC0E88" w14:paraId="417EE04C" w14:textId="77777777">
        <w:trPr>
          <w:cantSplit/>
        </w:trPr>
        <w:tc>
          <w:tcPr>
            <w:tcW w:w="5383" w:type="dxa"/>
            <w:tcBorders>
              <w:left w:val="single" w:sz="4" w:space="0" w:color="666666"/>
              <w:bottom w:val="single" w:sz="4" w:space="0" w:color="666666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BE9BCE" w14:textId="77777777" w:rsidR="00AC0E88" w:rsidRPr="00F630D1" w:rsidRDefault="006E139C">
            <w:pPr>
              <w:pStyle w:val="TableContents"/>
              <w:spacing w:after="283"/>
              <w:rPr>
                <w:sz w:val="28"/>
                <w:szCs w:val="28"/>
                <w:lang w:val="la-Latn"/>
              </w:rPr>
            </w:pPr>
            <w:r w:rsidRPr="00F630D1">
              <w:rPr>
                <w:sz w:val="28"/>
                <w:szCs w:val="28"/>
                <w:lang w:val="la-Latn"/>
              </w:rPr>
              <w:lastRenderedPageBreak/>
              <w:t>Qualis ista philosophia est, quae non interitum afferat pravitatis, sed sit contenta mediocritate vitiorum?</w:t>
            </w:r>
          </w:p>
          <w:p w14:paraId="4A6BF757" w14:textId="77777777" w:rsidR="00AC0E88" w:rsidRPr="00F630D1" w:rsidRDefault="006E139C">
            <w:pPr>
              <w:pStyle w:val="TableContents"/>
              <w:spacing w:after="283"/>
              <w:rPr>
                <w:sz w:val="28"/>
                <w:szCs w:val="28"/>
                <w:lang w:val="la-Latn"/>
              </w:rPr>
            </w:pPr>
            <w:r w:rsidRPr="00F630D1">
              <w:rPr>
                <w:sz w:val="28"/>
                <w:szCs w:val="28"/>
                <w:lang w:val="la-Latn"/>
              </w:rPr>
              <w:t>Quamquam in hac divisione rem ipsam prorsus probo, elegantiam desidero.</w:t>
            </w:r>
          </w:p>
        </w:tc>
        <w:tc>
          <w:tcPr>
            <w:tcW w:w="4219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FCA5B7" w14:textId="77777777" w:rsidR="00AC0E88" w:rsidRDefault="006E139C">
            <w:pPr>
              <w:pStyle w:val="TableContents"/>
              <w:spacing w:before="57" w:after="57"/>
              <w:ind w:left="227" w:hanging="22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quālis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quāle</w:t>
            </w:r>
            <w:proofErr w:type="spellEnd"/>
            <w:r>
              <w:rPr>
                <w:sz w:val="22"/>
                <w:szCs w:val="22"/>
              </w:rPr>
              <w:t>: was für ein</w:t>
            </w:r>
          </w:p>
          <w:p w14:paraId="396E208B" w14:textId="77777777" w:rsidR="00AC0E88" w:rsidRDefault="006E139C">
            <w:pPr>
              <w:pStyle w:val="TableContents"/>
              <w:spacing w:before="57" w:after="57"/>
              <w:ind w:left="227" w:hanging="22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interitus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interitūs</w:t>
            </w:r>
            <w:proofErr w:type="spellEnd"/>
            <w:r>
              <w:rPr>
                <w:sz w:val="22"/>
                <w:szCs w:val="22"/>
              </w:rPr>
              <w:t>, m.: der Untergang</w:t>
            </w:r>
          </w:p>
          <w:p w14:paraId="50E33DC6" w14:textId="77777777" w:rsidR="00AC0E88" w:rsidRDefault="006E139C">
            <w:pPr>
              <w:pStyle w:val="TableContents"/>
              <w:spacing w:before="57" w:after="57"/>
              <w:ind w:left="227" w:hanging="22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interitum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affere</w:t>
            </w:r>
            <w:proofErr w:type="spellEnd"/>
            <w:r>
              <w:rPr>
                <w:sz w:val="22"/>
                <w:szCs w:val="22"/>
              </w:rPr>
              <w:t>: den Untergang herbeiführen, etwas beseitigen</w:t>
            </w:r>
          </w:p>
          <w:p w14:paraId="38C5C77F" w14:textId="77777777" w:rsidR="00AC0E88" w:rsidRDefault="006E139C">
            <w:pPr>
              <w:pStyle w:val="TableContents"/>
              <w:spacing w:before="57" w:after="57"/>
              <w:ind w:left="227" w:hanging="22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prāvitās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prāvitātis</w:t>
            </w:r>
            <w:proofErr w:type="spellEnd"/>
            <w:r>
              <w:rPr>
                <w:sz w:val="22"/>
                <w:szCs w:val="22"/>
              </w:rPr>
              <w:t>, f.: die Schlechtigkeit</w:t>
            </w:r>
          </w:p>
          <w:p w14:paraId="16832290" w14:textId="2E7E2236" w:rsidR="00AC0E88" w:rsidRDefault="006E139C">
            <w:pPr>
              <w:pStyle w:val="TableContents"/>
              <w:spacing w:before="57" w:after="57"/>
              <w:ind w:left="227" w:hanging="22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mediocritās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mediocritātis</w:t>
            </w:r>
            <w:proofErr w:type="spellEnd"/>
            <w:r>
              <w:rPr>
                <w:sz w:val="22"/>
                <w:szCs w:val="22"/>
              </w:rPr>
              <w:t xml:space="preserve">, f.: das Mittelmaß. </w:t>
            </w:r>
            <w:r>
              <w:rPr>
                <w:i/>
                <w:iCs/>
                <w:sz w:val="22"/>
                <w:szCs w:val="22"/>
              </w:rPr>
              <w:t xml:space="preserve">Gemeint ist ein mittleres Maß an Fehlern, d. </w:t>
            </w:r>
            <w:proofErr w:type="gramStart"/>
            <w:r>
              <w:rPr>
                <w:i/>
                <w:iCs/>
                <w:sz w:val="22"/>
                <w:szCs w:val="22"/>
              </w:rPr>
              <w:t>h</w:t>
            </w:r>
            <w:r w:rsidR="00F630D1">
              <w:rPr>
                <w:i/>
                <w:iCs/>
                <w:sz w:val="22"/>
                <w:szCs w:val="22"/>
              </w:rPr>
              <w:t>.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dass keine allzu schweren Fehler begangen werden.</w:t>
            </w:r>
          </w:p>
          <w:p w14:paraId="3FD1B678" w14:textId="77777777" w:rsidR="00AC0E88" w:rsidRDefault="006E139C">
            <w:pPr>
              <w:pStyle w:val="TableContents"/>
              <w:spacing w:before="57" w:after="57"/>
              <w:ind w:left="227" w:hanging="22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prorsus</w:t>
            </w:r>
            <w:proofErr w:type="spellEnd"/>
            <w:r>
              <w:rPr>
                <w:sz w:val="22"/>
                <w:szCs w:val="22"/>
              </w:rPr>
              <w:t>: im Kern, im Grunde</w:t>
            </w:r>
          </w:p>
          <w:p w14:paraId="6B51F05C" w14:textId="77777777" w:rsidR="00AC0E88" w:rsidRDefault="006E139C">
            <w:pPr>
              <w:pStyle w:val="TableContents"/>
              <w:spacing w:before="57" w:after="57"/>
              <w:ind w:left="227" w:hanging="227"/>
            </w:pPr>
            <w:proofErr w:type="spellStart"/>
            <w:r>
              <w:rPr>
                <w:sz w:val="22"/>
                <w:szCs w:val="22"/>
              </w:rPr>
              <w:t>dēsīderāre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dēsīderō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dēsīderāvī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dēsīderātum</w:t>
            </w:r>
            <w:proofErr w:type="spellEnd"/>
            <w:r>
              <w:rPr>
                <w:sz w:val="22"/>
                <w:szCs w:val="22"/>
              </w:rPr>
              <w:t xml:space="preserve">: ersehnen, </w:t>
            </w:r>
            <w:r>
              <w:rPr>
                <w:rStyle w:val="Hervorhebung"/>
                <w:sz w:val="22"/>
                <w:szCs w:val="22"/>
              </w:rPr>
              <w:t>hier passt nur</w:t>
            </w:r>
            <w:r>
              <w:rPr>
                <w:sz w:val="22"/>
                <w:szCs w:val="22"/>
              </w:rPr>
              <w:t>: vermissen</w:t>
            </w:r>
          </w:p>
        </w:tc>
      </w:tr>
    </w:tbl>
    <w:p w14:paraId="3B6FAC96" w14:textId="5E8667E1" w:rsidR="00AC0E88" w:rsidRDefault="006E139C">
      <w:pPr>
        <w:pStyle w:val="Textbody"/>
        <w:spacing w:before="113" w:after="142"/>
      </w:pPr>
      <w:r>
        <w:t>Im folgenden Satz sollte der Modus der Prädikate im Hauptsatz (</w:t>
      </w:r>
      <w:proofErr w:type="spellStart"/>
      <w:r>
        <w:t>appellet</w:t>
      </w:r>
      <w:proofErr w:type="spellEnd"/>
      <w:r>
        <w:t xml:space="preserve">, </w:t>
      </w:r>
      <w:proofErr w:type="spellStart"/>
      <w:r>
        <w:t>servet</w:t>
      </w:r>
      <w:proofErr w:type="spellEnd"/>
      <w:r>
        <w:t>) genau beachtet werden; Erläuterungen hierzu findet man in der Übersicht</w:t>
      </w:r>
      <w:r w:rsidR="00F630D1">
        <w:t xml:space="preserve"> </w:t>
      </w:r>
      <w:hyperlink r:id="rId11" w:history="1">
        <w:r w:rsidRPr="00F630D1">
          <w:rPr>
            <w:rStyle w:val="Internetlink"/>
          </w:rPr>
          <w:t>Übersetzung des Konjunktivs im Hauptsatz</w:t>
        </w:r>
      </w:hyperlink>
      <w:r>
        <w:t xml:space="preserve">. Als Subjekt des Satzes ist </w:t>
      </w:r>
      <w:r>
        <w:rPr>
          <w:rStyle w:val="Hervorhebung"/>
        </w:rPr>
        <w:t>Epicurus</w:t>
      </w:r>
      <w:r>
        <w:t xml:space="preserve"> zu denken.</w:t>
      </w:r>
    </w:p>
    <w:p w14:paraId="463CBC53" w14:textId="77777777" w:rsidR="00AC0E88" w:rsidRDefault="006E139C">
      <w:pPr>
        <w:pStyle w:val="Textbody"/>
      </w:pPr>
      <w:r>
        <w:t xml:space="preserve">Inhaltlich ist für den folgenden Satz der Gegensatz zwischen </w:t>
      </w:r>
      <w:proofErr w:type="spellStart"/>
      <w:r>
        <w:rPr>
          <w:rStyle w:val="Hervorhebung"/>
        </w:rPr>
        <w:t>desiderium</w:t>
      </w:r>
      <w:proofErr w:type="spellEnd"/>
      <w:r>
        <w:t xml:space="preserve"> (Bedürfnis) und </w:t>
      </w:r>
      <w:proofErr w:type="spellStart"/>
      <w:r>
        <w:rPr>
          <w:rStyle w:val="Hervorhebung"/>
        </w:rPr>
        <w:t>cupiditas</w:t>
      </w:r>
      <w:proofErr w:type="spellEnd"/>
      <w:r>
        <w:t xml:space="preserve"> (Begierde) wichtig. </w:t>
      </w:r>
      <w:proofErr w:type="spellStart"/>
      <w:r w:rsidRPr="00EE2AEE">
        <w:rPr>
          <w:i/>
          <w:iCs/>
        </w:rPr>
        <w:t>Cupiditas</w:t>
      </w:r>
      <w:proofErr w:type="spellEnd"/>
      <w:r>
        <w:t xml:space="preserve"> hat für Cicero immer einen negativen Beiklang.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6"/>
        <w:gridCol w:w="3968"/>
      </w:tblGrid>
      <w:tr w:rsidR="00AC0E88" w14:paraId="78D65111" w14:textId="77777777">
        <w:tc>
          <w:tcPr>
            <w:tcW w:w="566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11A115" w14:textId="77777777" w:rsidR="00AC0E88" w:rsidRPr="00F630D1" w:rsidRDefault="006E139C">
            <w:pPr>
              <w:pStyle w:val="TableContents"/>
              <w:rPr>
                <w:sz w:val="28"/>
                <w:szCs w:val="28"/>
                <w:lang w:val="la-Latn"/>
              </w:rPr>
            </w:pPr>
            <w:r w:rsidRPr="00F630D1">
              <w:rPr>
                <w:sz w:val="28"/>
                <w:szCs w:val="28"/>
                <w:lang w:val="la-Latn"/>
              </w:rPr>
              <w:t>Appellet (Epicurus) haec desideria naturae, cupiditatis nomen servet alio, ut eam, cum de avaritia, cum de intemperantia, cum de maximis vitiis loquetur, tamquam capitis accuset.</w:t>
            </w:r>
          </w:p>
        </w:tc>
        <w:tc>
          <w:tcPr>
            <w:tcW w:w="396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5D6FCD" w14:textId="77777777" w:rsidR="00AC0E88" w:rsidRDefault="006E139C" w:rsidP="00F630D1">
            <w:pPr>
              <w:pStyle w:val="TableContents"/>
              <w:spacing w:before="57" w:after="57"/>
              <w:ind w:left="227" w:hanging="22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dēsīderium</w:t>
            </w:r>
            <w:proofErr w:type="spellEnd"/>
            <w:r>
              <w:rPr>
                <w:sz w:val="22"/>
                <w:szCs w:val="22"/>
              </w:rPr>
              <w:t>: das Bedürfnis.</w:t>
            </w:r>
          </w:p>
          <w:p w14:paraId="79970F1E" w14:textId="77777777" w:rsidR="00AC0E88" w:rsidRPr="00F630D1" w:rsidRDefault="006E139C" w:rsidP="00F630D1">
            <w:pPr>
              <w:pStyle w:val="TableContents"/>
              <w:spacing w:before="57" w:after="57"/>
              <w:ind w:left="227" w:hanging="22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aliō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F630D1">
              <w:rPr>
                <w:i/>
                <w:iCs/>
                <w:sz w:val="22"/>
                <w:szCs w:val="22"/>
              </w:rPr>
              <w:t>Adverb, abgeleitet von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alius</w:t>
            </w:r>
            <w:proofErr w:type="spellEnd"/>
            <w:r>
              <w:rPr>
                <w:sz w:val="22"/>
                <w:szCs w:val="22"/>
              </w:rPr>
              <w:t>): für einen anderen Zweck, für etwas anderes</w:t>
            </w:r>
          </w:p>
          <w:p w14:paraId="332BF7A6" w14:textId="77777777" w:rsidR="00AC0E88" w:rsidRDefault="006E139C" w:rsidP="00F630D1">
            <w:pPr>
              <w:pStyle w:val="TableContents"/>
              <w:spacing w:before="57" w:after="57"/>
              <w:ind w:left="227" w:hanging="22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eam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F630D1">
              <w:rPr>
                <w:sz w:val="22"/>
                <w:szCs w:val="22"/>
              </w:rPr>
              <w:t>gemeint ist die Begierde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cupiditas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38C8579F" w14:textId="77777777" w:rsidR="00AC0E88" w:rsidRDefault="006E139C" w:rsidP="00F630D1">
            <w:pPr>
              <w:pStyle w:val="TableContents"/>
              <w:spacing w:before="57" w:after="57"/>
              <w:ind w:left="227" w:hanging="227"/>
            </w:pPr>
            <w:r>
              <w:rPr>
                <w:sz w:val="22"/>
                <w:szCs w:val="22"/>
              </w:rPr>
              <w:t xml:space="preserve">capitis </w:t>
            </w:r>
            <w:proofErr w:type="spellStart"/>
            <w:r>
              <w:rPr>
                <w:sz w:val="22"/>
                <w:szCs w:val="22"/>
              </w:rPr>
              <w:t>accusare</w:t>
            </w:r>
            <w:proofErr w:type="spellEnd"/>
            <w:r>
              <w:rPr>
                <w:sz w:val="22"/>
                <w:szCs w:val="22"/>
              </w:rPr>
              <w:t>: auf Leben und Tod anklagen</w:t>
            </w:r>
            <w:r w:rsidRPr="00F630D1">
              <w:rPr>
                <w:sz w:val="22"/>
                <w:szCs w:val="22"/>
              </w:rPr>
              <w:t xml:space="preserve">; </w:t>
            </w:r>
            <w:r w:rsidRPr="00F630D1">
              <w:rPr>
                <w:i/>
                <w:iCs/>
                <w:sz w:val="22"/>
                <w:szCs w:val="22"/>
              </w:rPr>
              <w:t>hier im übertragenen Sinne gemeint</w:t>
            </w:r>
            <w:r w:rsidRPr="00F630D1">
              <w:rPr>
                <w:sz w:val="22"/>
                <w:szCs w:val="22"/>
              </w:rPr>
              <w:t>.</w:t>
            </w:r>
          </w:p>
        </w:tc>
      </w:tr>
    </w:tbl>
    <w:p w14:paraId="50F0DF01" w14:textId="77777777" w:rsidR="00AC0E88" w:rsidRDefault="006E139C">
      <w:pPr>
        <w:pStyle w:val="Textbody"/>
        <w:spacing w:before="113" w:after="142"/>
      </w:pPr>
      <w:r>
        <w:t xml:space="preserve">Anzahl der Wörter des Textauszugs De </w:t>
      </w:r>
      <w:proofErr w:type="spellStart"/>
      <w:r>
        <w:t>finibus</w:t>
      </w:r>
      <w:proofErr w:type="spellEnd"/>
      <w:r>
        <w:t xml:space="preserve"> 2,27: ca. 100 Wörter</w:t>
      </w:r>
    </w:p>
    <w:p w14:paraId="43A7FD82" w14:textId="42911A05" w:rsidR="00AC0E88" w:rsidRDefault="00EE2AEE">
      <w:pPr>
        <w:pStyle w:val="Textbody"/>
      </w:pPr>
      <w:r>
        <w:t>URL dieses Dokuments:</w:t>
      </w:r>
    </w:p>
    <w:p w14:paraId="53A01CF7" w14:textId="1BC5E75C" w:rsidR="00EE2AEE" w:rsidRDefault="00EE2AEE">
      <w:pPr>
        <w:pStyle w:val="Textbody"/>
      </w:pPr>
      <w:hyperlink r:id="rId12" w:history="1">
        <w:r w:rsidRPr="006E308F">
          <w:rPr>
            <w:rStyle w:val="Hyperlink"/>
          </w:rPr>
          <w:t>https://www.schule-bw.de/faecher-und-schularten/sprachen-und-literatur/latein/texte-und-medien/cicero-philosophie/cicero-de-finibus-bonorum-et-malorum/de-finibus-2-27.html</w:t>
        </w:r>
      </w:hyperlink>
    </w:p>
    <w:p w14:paraId="4354EF57" w14:textId="77777777" w:rsidR="00EE2AEE" w:rsidRDefault="00EE2AEE">
      <w:pPr>
        <w:pStyle w:val="Textbody"/>
      </w:pPr>
    </w:p>
    <w:sectPr w:rsidR="00EE2A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F452" w14:textId="77777777" w:rsidR="00E932C3" w:rsidRDefault="00E932C3">
      <w:pPr>
        <w:spacing w:after="0" w:line="240" w:lineRule="auto"/>
      </w:pPr>
      <w:r>
        <w:separator/>
      </w:r>
    </w:p>
  </w:endnote>
  <w:endnote w:type="continuationSeparator" w:id="0">
    <w:p w14:paraId="300A52F2" w14:textId="77777777" w:rsidR="00E932C3" w:rsidRDefault="00E9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8BCC" w14:textId="77777777" w:rsidR="00FB6E59" w:rsidRDefault="00FB6E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969B" w14:textId="77777777" w:rsidR="0007113A" w:rsidRDefault="006E139C">
    <w:pPr>
      <w:pStyle w:val="Fuzeile"/>
      <w:widowControl w:val="0"/>
      <w:pBdr>
        <w:top w:val="single" w:sz="12" w:space="1" w:color="000000"/>
      </w:pBdr>
    </w:pPr>
    <w:r w:rsidRPr="00FB6E59">
      <w:rPr>
        <w:sz w:val="18"/>
        <w:szCs w:val="18"/>
      </w:rPr>
      <w:t xml:space="preserve">Diese Materialien sind unter der OER-konformen Lizenz </w:t>
    </w:r>
    <w:hyperlink r:id="rId1" w:history="1">
      <w:r w:rsidRPr="00FB6E59">
        <w:rPr>
          <w:rStyle w:val="Hyperlink"/>
          <w:sz w:val="18"/>
          <w:szCs w:val="18"/>
        </w:rPr>
        <w:t>CC BY 4.0 International</w:t>
      </w:r>
    </w:hyperlink>
    <w:r w:rsidRPr="00FB6E59">
      <w:rPr>
        <w:sz w:val="18"/>
        <w:szCs w:val="18"/>
      </w:rPr>
      <w:t xml:space="preserve"> verfügbar. Herausgeber: Landesbildungsserver Baden-Württemberg (</w:t>
    </w:r>
    <w:hyperlink r:id="rId2" w:history="1">
      <w:r w:rsidRPr="00FB6E59">
        <w:rPr>
          <w:rStyle w:val="Hyperlink"/>
          <w:sz w:val="18"/>
          <w:szCs w:val="18"/>
        </w:rPr>
        <w:t>www.schule-bw.de</w:t>
      </w:r>
    </w:hyperlink>
    <w:r w:rsidRPr="00FB6E59">
      <w:rPr>
        <w:sz w:val="18"/>
        <w:szCs w:val="18"/>
      </w:rPr>
      <w:t>), Fachredaktion Latein (</w:t>
    </w:r>
    <w:hyperlink r:id="rId3" w:history="1">
      <w:r w:rsidRPr="00FB6E59">
        <w:rPr>
          <w:rStyle w:val="Internetlink"/>
          <w:sz w:val="18"/>
          <w:szCs w:val="18"/>
        </w:rPr>
        <w:t>www.latein-bw.de</w:t>
      </w:r>
    </w:hyperlink>
    <w:r w:rsidRPr="00FB6E59">
      <w:rPr>
        <w:sz w:val="18"/>
        <w:szCs w:val="18"/>
      </w:rPr>
      <w:t xml:space="preserve">). Urheberrechtsangaben gemäß </w:t>
    </w:r>
    <w:hyperlink r:id="rId4" w:history="1">
      <w:r w:rsidRPr="00FB6E59">
        <w:rPr>
          <w:rStyle w:val="Hyperlink"/>
          <w:sz w:val="18"/>
          <w:szCs w:val="18"/>
        </w:rPr>
        <w:t>www.schule-bw.de/urheberrecht</w:t>
      </w:r>
    </w:hyperlink>
    <w:r w:rsidRPr="00FB6E59">
      <w:rPr>
        <w:sz w:val="18"/>
        <w:szCs w:val="18"/>
      </w:rPr>
      <w:t xml:space="preserve"> sind zu beachten</w:t>
    </w:r>
    <w:r>
      <w:rPr>
        <w:sz w:val="16"/>
        <w:szCs w:val="16"/>
      </w:rPr>
      <w:t>.</w:t>
    </w:r>
  </w:p>
  <w:p w14:paraId="62E4869B" w14:textId="77777777" w:rsidR="0007113A" w:rsidRDefault="006E139C">
    <w:pPr>
      <w:pStyle w:val="Fuzeile"/>
      <w:widowControl w:val="0"/>
      <w:pBdr>
        <w:top w:val="single" w:sz="12" w:space="1" w:color="000000"/>
      </w:pBdr>
      <w:jc w:val="center"/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\* ARABIC 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2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\* ARABIC 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2</w:t>
    </w:r>
    <w:r>
      <w:rPr>
        <w:sz w:val="2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4328" w14:textId="77777777" w:rsidR="00FB6E59" w:rsidRDefault="00FB6E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B84D" w14:textId="77777777" w:rsidR="00E932C3" w:rsidRDefault="00E932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C84AF5" w14:textId="77777777" w:rsidR="00E932C3" w:rsidRDefault="00E9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9B75" w14:textId="77777777" w:rsidR="00FB6E59" w:rsidRDefault="00FB6E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10EF" w14:textId="77777777" w:rsidR="0007113A" w:rsidRDefault="006E139C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3B8732" wp14:editId="3EBE3AC4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1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2459" t="9203" r="69676" b="6428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2E1547C" wp14:editId="3972E660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 l="6217" t="13904" r="6409" b="1390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FCB5BD" wp14:editId="04D4C45E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359"/>
              <wp:effectExtent l="0" t="0" r="0" b="6841"/>
              <wp:wrapNone/>
              <wp:docPr id="3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35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5B9DFC7" w14:textId="77777777" w:rsidR="0007113A" w:rsidRDefault="006E139C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vert="horz" wrap="square" lIns="91440" tIns="45720" rIns="91440" bIns="4572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CB5BD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" filled="f" stroked="f">
              <v:textbox>
                <w:txbxContent>
                  <w:p w14:paraId="75B9DFC7" w14:textId="77777777" w:rsidR="0007113A" w:rsidRDefault="006E139C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17E002B" wp14:editId="09D97067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4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7388ADA" w14:textId="77777777" w:rsidR="0007113A" w:rsidRDefault="006E139C">
    <w:pPr>
      <w:pStyle w:val="Kopfzeile"/>
      <w:pBdr>
        <w:bottom w:val="single" w:sz="4" w:space="1" w:color="000000"/>
      </w:pBdr>
      <w:rPr>
        <w:sz w:val="8"/>
        <w:szCs w:val="8"/>
      </w:rPr>
    </w:pPr>
    <w:r>
      <w:rPr>
        <w:sz w:val="8"/>
        <w:szCs w:val="8"/>
      </w:rPr>
      <w:t>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56C8" w14:textId="77777777" w:rsidR="00FB6E59" w:rsidRDefault="00FB6E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957"/>
    <w:multiLevelType w:val="multilevel"/>
    <w:tmpl w:val="2C32C51C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88"/>
    <w:rsid w:val="000416E9"/>
    <w:rsid w:val="001E134B"/>
    <w:rsid w:val="004669A9"/>
    <w:rsid w:val="00681E4B"/>
    <w:rsid w:val="006E139C"/>
    <w:rsid w:val="00AC0E88"/>
    <w:rsid w:val="00E932C3"/>
    <w:rsid w:val="00EE2AEE"/>
    <w:rsid w:val="00F630D1"/>
    <w:rsid w:val="00FB6E59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40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60" w:line="276" w:lineRule="auto"/>
    </w:pPr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  <w:color w:val="4F81BD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200" w:after="24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after="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suppressAutoHyphens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6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6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6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paragraph" w:styleId="KeinLeerraum">
    <w:name w:val="No Spacing"/>
    <w:pPr>
      <w:textAlignment w:val="auto"/>
    </w:pPr>
    <w:rPr>
      <w:rFonts w:cs="Arial"/>
      <w:sz w:val="22"/>
      <w:szCs w:val="22"/>
    </w:rPr>
  </w:style>
  <w:style w:type="paragraph" w:styleId="Titel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3"/>
      <w:sz w:val="44"/>
      <w:szCs w:val="52"/>
    </w:rPr>
  </w:style>
  <w:style w:type="paragraph" w:styleId="Untertitel">
    <w:name w:val="Subtitle"/>
    <w:basedOn w:val="Standard"/>
    <w:next w:val="Standard"/>
    <w:uiPriority w:val="11"/>
    <w:qFormat/>
    <w:rPr>
      <w:rFonts w:ascii="Cambria" w:hAnsi="Cambria"/>
      <w:i/>
      <w:iCs/>
      <w:color w:val="4F81BD"/>
      <w:spacing w:val="15"/>
      <w:szCs w:val="24"/>
    </w:rPr>
  </w:style>
  <w:style w:type="paragraph" w:styleId="berarbeitung">
    <w:name w:val="Revision"/>
    <w:pPr>
      <w:textAlignment w:val="auto"/>
    </w:pPr>
  </w:style>
  <w:style w:type="paragraph" w:styleId="Funotentext">
    <w:name w:val="footnote text"/>
    <w:basedOn w:val="Standard"/>
    <w:pPr>
      <w:spacing w:after="0" w:line="240" w:lineRule="auto"/>
    </w:pPr>
    <w:rPr>
      <w:sz w:val="20"/>
    </w:rPr>
  </w:style>
  <w:style w:type="paragraph" w:styleId="StandardWeb">
    <w:name w:val="Normal (Web)"/>
    <w:basedOn w:val="Standard"/>
    <w:uiPriority w:val="99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Cs w:val="24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vokabel">
    <w:name w:val="vokabel"/>
    <w:basedOn w:val="TableContents"/>
    <w:pPr>
      <w:spacing w:after="113"/>
      <w:ind w:left="283" w:hanging="283"/>
    </w:pPr>
    <w:rPr>
      <w:sz w:val="22"/>
      <w:szCs w:val="22"/>
    </w:rPr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KeinLeerraumZchn">
    <w:name w:val="Kein Leerraum Zchn"/>
    <w:basedOn w:val="Absatz-Standardschriftart"/>
    <w:rPr>
      <w:rFonts w:ascii="Calibri" w:eastAsia="Times New Roman" w:hAnsi="Calibri" w:cs="Arial"/>
      <w:sz w:val="22"/>
      <w:szCs w:val="22"/>
    </w:rPr>
  </w:style>
  <w:style w:type="character" w:customStyle="1" w:styleId="TitelZchn">
    <w:name w:val="Titel Zchn"/>
    <w:basedOn w:val="Absatz-Standardschriftart"/>
    <w:rPr>
      <w:rFonts w:ascii="Cambria" w:eastAsia="Times New Roman" w:hAnsi="Cambria" w:cs="Times New Roman"/>
      <w:color w:val="17365D"/>
      <w:spacing w:val="5"/>
      <w:kern w:val="3"/>
      <w:sz w:val="44"/>
      <w:szCs w:val="52"/>
    </w:rPr>
  </w:style>
  <w:style w:type="character" w:customStyle="1" w:styleId="UntertitelZchn">
    <w:name w:val="Untertitel Zchn"/>
    <w:basedOn w:val="Absatz-Standardschriftart"/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berschrift2Zchn">
    <w:name w:val="Überschrift 2 Zchn"/>
    <w:basedOn w:val="Absatz-Standardschriftart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1Zchn">
    <w:name w:val="Überschrift 1 Zchn"/>
    <w:basedOn w:val="Absatz-Standardschriftart"/>
    <w:rPr>
      <w:rFonts w:eastAsia="Microsoft YaHei" w:cs="Mangal"/>
      <w:b/>
      <w:bCs/>
      <w:color w:val="4F81BD"/>
      <w:sz w:val="28"/>
      <w:szCs w:val="28"/>
    </w:rPr>
  </w:style>
  <w:style w:type="character" w:styleId="Fett">
    <w:name w:val="Strong"/>
    <w:basedOn w:val="Absatz-Standardschriftart"/>
    <w:rPr>
      <w:b/>
      <w:bCs/>
    </w:rPr>
  </w:style>
  <w:style w:type="character" w:styleId="Hervorhebung">
    <w:name w:val="Emphasis"/>
    <w:uiPriority w:val="20"/>
    <w:qFormat/>
    <w:rPr>
      <w:i/>
      <w:iCs/>
    </w:rPr>
  </w:style>
  <w:style w:type="character" w:customStyle="1" w:styleId="ckeimageresizer">
    <w:name w:val="cke_image_resizer"/>
    <w:basedOn w:val="Absatz-Standardschriftart"/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  <w:style w:type="character" w:customStyle="1" w:styleId="showbody">
    <w:name w:val="showbody"/>
    <w:basedOn w:val="Absatz-Standardschriftart"/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customStyle="1" w:styleId="FunotentextZchn">
    <w:name w:val="Fußnotentext Zchn"/>
    <w:basedOn w:val="Absatz-Standardschriftart"/>
    <w:rPr>
      <w:sz w:val="20"/>
    </w:rPr>
  </w:style>
  <w:style w:type="character" w:customStyle="1" w:styleId="FootnoteSymbol">
    <w:name w:val="Footnote Symbol"/>
    <w:basedOn w:val="Absatz-Standardschriftar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numbering" w:customStyle="1" w:styleId="WWNum2">
    <w:name w:val="WWNum2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resolveuid/f2903d6ce61544e5bbd5fe1cc1fe146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chule-bw.de/resolveuid/3aea476e0b534be19a077924bf2cef8a" TargetMode="External"/><Relationship Id="rId12" Type="http://schemas.openxmlformats.org/officeDocument/2006/relationships/hyperlink" Target="https://www.schule-bw.de/faecher-und-schularten/sprachen-und-literatur/latein/texte-und-medien/cicero-philosophie/cicero-de-finibus-bonorum-et-malorum/de-finibus-2-27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hule-bw.de/resolveuid/88494fc7785c46f485b4b27a807ce81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chule-bw.de/resolveuid/27bb43d1d377472cbf501fbb4fb942a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hule-bw.de/resolveuid/88494fc7785c46f485b4b27a807ce811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tein-bw.de/" TargetMode="External"/><Relationship Id="rId2" Type="http://schemas.openxmlformats.org/officeDocument/2006/relationships/hyperlink" Target="https://www.schule-bw.de/" TargetMode="External"/><Relationship Id="rId1" Type="http://schemas.openxmlformats.org/officeDocument/2006/relationships/hyperlink" Target="https://creativecommons.org/licenses/by/4.0/legalcode" TargetMode="External"/><Relationship Id="rId4" Type="http://schemas.openxmlformats.org/officeDocument/2006/relationships/hyperlink" Target="https://www.schule-bw.de/urheberrech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Cicero, De finibus 2, 27: Kritik an Epikur</dc:title>
  <dc:creator/>
  <cp:lastModifiedBy/>
  <cp:revision>1</cp:revision>
  <dcterms:created xsi:type="dcterms:W3CDTF">2021-12-03T12:08:00Z</dcterms:created>
  <dcterms:modified xsi:type="dcterms:W3CDTF">2021-12-03T12:11:00Z</dcterms:modified>
</cp:coreProperties>
</file>