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87" w:rsidRPr="001470AD" w:rsidRDefault="00E73087" w:rsidP="00E73087">
      <w:pPr>
        <w:pStyle w:val="berschrift1"/>
        <w:rPr>
          <w:sz w:val="28"/>
        </w:rPr>
      </w:pPr>
      <w:r>
        <w:rPr>
          <w:sz w:val="28"/>
        </w:rPr>
        <w:t>Bezug zum Konzept</w:t>
      </w:r>
    </w:p>
    <w:p w:rsidR="00E73087" w:rsidRDefault="00E73087" w:rsidP="00E7308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 der folgenden Tabelle sind die </w:t>
      </w:r>
      <w:r w:rsidR="00A12C83">
        <w:rPr>
          <w:sz w:val="24"/>
          <w:szCs w:val="24"/>
        </w:rPr>
        <w:t>erstellten</w:t>
      </w:r>
      <w:r>
        <w:rPr>
          <w:sz w:val="24"/>
          <w:szCs w:val="24"/>
        </w:rPr>
        <w:t xml:space="preserve"> Materialien den Teilbereichen des Konzeptes zugeordnet.</w:t>
      </w:r>
    </w:p>
    <w:tbl>
      <w:tblPr>
        <w:tblStyle w:val="Tabellenraster"/>
        <w:tblpPr w:leftFromText="141" w:rightFromText="141" w:vertAnchor="text" w:tblpX="-85" w:tblpY="1"/>
        <w:tblOverlap w:val="never"/>
        <w:tblW w:w="95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38"/>
        <w:gridCol w:w="3499"/>
        <w:gridCol w:w="5062"/>
      </w:tblGrid>
      <w:tr w:rsidR="00E73087" w:rsidRPr="00B244F4" w:rsidTr="00FC1C3D">
        <w:trPr>
          <w:tblHeader/>
        </w:trPr>
        <w:tc>
          <w:tcPr>
            <w:tcW w:w="1038" w:type="dxa"/>
            <w:shd w:val="clear" w:color="auto" w:fill="D9D9D9" w:themeFill="background1" w:themeFillShade="D9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/>
                <w:sz w:val="24"/>
              </w:rPr>
            </w:pPr>
            <w:r w:rsidRPr="00FC1C3D">
              <w:rPr>
                <w:rFonts w:asciiTheme="minorHAnsi" w:hAnsiTheme="minorHAnsi" w:cstheme="minorHAnsi"/>
                <w:b/>
                <w:sz w:val="24"/>
              </w:rPr>
              <w:t>Themen</w:t>
            </w:r>
          </w:p>
        </w:tc>
        <w:tc>
          <w:tcPr>
            <w:tcW w:w="3499" w:type="dxa"/>
            <w:shd w:val="clear" w:color="auto" w:fill="D9D9D9" w:themeFill="background1" w:themeFillShade="D9"/>
          </w:tcPr>
          <w:p w:rsidR="00E73087" w:rsidRPr="00FC1C3D" w:rsidRDefault="00E73087" w:rsidP="00FC1C3D">
            <w:pPr>
              <w:pStyle w:val="KeinLeerraum"/>
              <w:ind w:left="57"/>
              <w:rPr>
                <w:rFonts w:asciiTheme="minorHAnsi" w:hAnsiTheme="minorHAnsi" w:cstheme="minorHAnsi"/>
                <w:b/>
                <w:sz w:val="24"/>
              </w:rPr>
            </w:pPr>
            <w:r w:rsidRPr="00FC1C3D">
              <w:rPr>
                <w:rFonts w:asciiTheme="minorHAnsi" w:hAnsiTheme="minorHAnsi" w:cstheme="minorHAnsi"/>
                <w:b/>
                <w:sz w:val="24"/>
              </w:rPr>
              <w:t>Unterpunkte</w:t>
            </w:r>
          </w:p>
        </w:tc>
        <w:tc>
          <w:tcPr>
            <w:tcW w:w="5062" w:type="dxa"/>
            <w:shd w:val="clear" w:color="auto" w:fill="D9D9D9" w:themeFill="background1" w:themeFillShade="D9"/>
          </w:tcPr>
          <w:p w:rsidR="00E73087" w:rsidRPr="00FC1C3D" w:rsidRDefault="00E73087" w:rsidP="00FC1C3D">
            <w:pPr>
              <w:pStyle w:val="KeinLeerraum"/>
              <w:ind w:left="57"/>
              <w:rPr>
                <w:rFonts w:asciiTheme="minorHAnsi" w:hAnsiTheme="minorHAnsi" w:cstheme="minorHAnsi"/>
                <w:b/>
                <w:sz w:val="24"/>
              </w:rPr>
            </w:pPr>
            <w:r w:rsidRPr="00FC1C3D">
              <w:rPr>
                <w:rFonts w:asciiTheme="minorHAnsi" w:hAnsiTheme="minorHAnsi" w:cstheme="minorHAnsi"/>
                <w:b/>
                <w:sz w:val="24"/>
              </w:rPr>
              <w:t>Umsetzung im Fach Physik</w:t>
            </w:r>
          </w:p>
        </w:tc>
      </w:tr>
      <w:tr w:rsidR="00E73087" w:rsidRPr="001C1816" w:rsidTr="00FC1C3D">
        <w:trPr>
          <w:cantSplit/>
          <w:trHeight w:val="1962"/>
          <w:tblHeader/>
        </w:trPr>
        <w:tc>
          <w:tcPr>
            <w:tcW w:w="1038" w:type="dxa"/>
            <w:shd w:val="clear" w:color="auto" w:fill="A50021"/>
            <w:textDirection w:val="btLr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Kooperation zwischen Schulen</w:t>
            </w:r>
          </w:p>
        </w:tc>
        <w:tc>
          <w:tcPr>
            <w:tcW w:w="3499" w:type="dxa"/>
            <w:shd w:val="clear" w:color="auto" w:fill="FBE4D5" w:themeFill="accent2" w:themeFillTint="33"/>
          </w:tcPr>
          <w:p w:rsidR="00E73087" w:rsidRPr="00FC1C3D" w:rsidRDefault="00E73087" w:rsidP="00FC1C3D">
            <w:pPr>
              <w:ind w:left="57"/>
              <w:rPr>
                <w:rFonts w:eastAsia="Calibri"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Übungsmaterial für die Übergangszeit bereitstellen</w:t>
            </w:r>
          </w:p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062" w:type="dxa"/>
            <w:shd w:val="clear" w:color="auto" w:fill="FBE4D5" w:themeFill="accent2" w:themeFillTint="33"/>
          </w:tcPr>
          <w:p w:rsidR="00E73087" w:rsidRPr="00FC1C3D" w:rsidRDefault="00E73087" w:rsidP="00FC1C3D">
            <w:pPr>
              <w:pStyle w:val="Aufz1"/>
              <w:ind w:left="57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Es gibt bereits eine Physikbrücke unter „www.physikbrücke.de“ mit Fortbildungsangebot für Lehrkräfte von Sek I und Sek II.</w:t>
            </w:r>
          </w:p>
        </w:tc>
      </w:tr>
      <w:tr w:rsidR="00E73087" w:rsidRPr="00F27E48" w:rsidTr="00FC1C3D">
        <w:trPr>
          <w:cantSplit/>
          <w:trHeight w:val="1723"/>
          <w:tblHeader/>
        </w:trPr>
        <w:tc>
          <w:tcPr>
            <w:tcW w:w="1038" w:type="dxa"/>
            <w:shd w:val="clear" w:color="auto" w:fill="ED7D31" w:themeFill="accent2"/>
            <w:textDirection w:val="btLr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Pädagogische Diagnose</w:t>
            </w:r>
          </w:p>
        </w:tc>
        <w:tc>
          <w:tcPr>
            <w:tcW w:w="3499" w:type="dxa"/>
            <w:shd w:val="clear" w:color="auto" w:fill="FFF2CC" w:themeFill="accent4" w:themeFillTint="33"/>
          </w:tcPr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Selbsteinschätzung mit Hilfe von passenden Diagnoseinstrumenten durchführen</w:t>
            </w:r>
          </w:p>
          <w:p w:rsidR="00E73087" w:rsidRPr="00FC1C3D" w:rsidRDefault="00E73087" w:rsidP="00FC1C3D">
            <w:pPr>
              <w:rPr>
                <w:rFonts w:cstheme="minorHAnsi"/>
                <w:sz w:val="24"/>
              </w:rPr>
            </w:pPr>
          </w:p>
        </w:tc>
        <w:tc>
          <w:tcPr>
            <w:tcW w:w="5062" w:type="dxa"/>
            <w:shd w:val="clear" w:color="auto" w:fill="FFF2CC" w:themeFill="accent4" w:themeFillTint="33"/>
          </w:tcPr>
          <w:p w:rsidR="00FC1C3D" w:rsidRDefault="00E73087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Kopfübungen</w:t>
            </w:r>
            <w:r w:rsidR="00FC1C3D">
              <w:rPr>
                <w:rFonts w:asciiTheme="minorHAnsi" w:hAnsiTheme="minorHAnsi" w:cstheme="minorHAnsi"/>
                <w:sz w:val="24"/>
              </w:rPr>
              <w:t xml:space="preserve"> Serie A und B mit unterschiedlichen Schwerpunkten</w:t>
            </w:r>
          </w:p>
          <w:p w:rsidR="00E73087" w:rsidRDefault="00FC1C3D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Ich-k</w:t>
            </w:r>
            <w:r w:rsidR="00E73087" w:rsidRPr="00FC1C3D">
              <w:rPr>
                <w:rFonts w:asciiTheme="minorHAnsi" w:hAnsiTheme="minorHAnsi" w:cstheme="minorHAnsi"/>
                <w:sz w:val="24"/>
              </w:rPr>
              <w:t>ann-Listen</w:t>
            </w:r>
          </w:p>
          <w:p w:rsidR="00FC1C3D" w:rsidRPr="00FC1C3D" w:rsidRDefault="00FC1C3D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REWUEs</w:t>
            </w:r>
          </w:p>
        </w:tc>
      </w:tr>
      <w:tr w:rsidR="00E73087" w:rsidRPr="00F27E48" w:rsidTr="00FC1C3D">
        <w:trPr>
          <w:trHeight w:val="2429"/>
        </w:trPr>
        <w:tc>
          <w:tcPr>
            <w:tcW w:w="1038" w:type="dxa"/>
            <w:shd w:val="clear" w:color="auto" w:fill="538135" w:themeFill="accent6" w:themeFillShade="BF"/>
            <w:textDirection w:val="btLr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 xml:space="preserve"> Binnendifferenzierung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Nach verschiedenen Kriterien differenzierte Lernmaterialien bereitstellen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Schwierigkeitsgrad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Anzahl der Anleitungen/Lernhilfen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Grad der Selbstständigkeit</w:t>
            </w:r>
          </w:p>
          <w:p w:rsidR="00E73087" w:rsidRPr="00FC1C3D" w:rsidRDefault="00D75293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Kooperation/</w:t>
            </w:r>
            <w:r w:rsidR="00E73087" w:rsidRPr="00FC1C3D">
              <w:rPr>
                <w:rFonts w:asciiTheme="minorHAnsi" w:hAnsiTheme="minorHAnsi" w:cstheme="minorHAnsi"/>
                <w:sz w:val="24"/>
              </w:rPr>
              <w:t>Sozialform</w:t>
            </w:r>
          </w:p>
        </w:tc>
        <w:tc>
          <w:tcPr>
            <w:tcW w:w="5062" w:type="dxa"/>
            <w:shd w:val="clear" w:color="auto" w:fill="C5E0B3" w:themeFill="accent6" w:themeFillTint="66"/>
          </w:tcPr>
          <w:p w:rsidR="002F2874" w:rsidRPr="00FC1C3D" w:rsidRDefault="002F2874" w:rsidP="002F2874">
            <w:pPr>
              <w:pStyle w:val="Listenabsatz"/>
              <w:numPr>
                <w:ilvl w:val="0"/>
                <w:numId w:val="5"/>
              </w:numPr>
              <w:spacing w:after="0"/>
              <w:ind w:left="425" w:hanging="283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 xml:space="preserve">Aufgabenset </w:t>
            </w:r>
          </w:p>
          <w:p w:rsidR="00E73087" w:rsidRPr="00BF2E00" w:rsidRDefault="00E73087" w:rsidP="00FC1C3D">
            <w:pPr>
              <w:pStyle w:val="Listenabsatz"/>
              <w:numPr>
                <w:ilvl w:val="0"/>
                <w:numId w:val="5"/>
              </w:numPr>
              <w:spacing w:after="0"/>
              <w:ind w:left="425" w:hanging="283"/>
              <w:rPr>
                <w:rFonts w:asciiTheme="minorHAnsi" w:hAnsiTheme="minorHAnsi" w:cstheme="minorHAnsi"/>
                <w:color w:val="auto"/>
                <w:sz w:val="24"/>
              </w:rPr>
            </w:pPr>
            <w:r w:rsidRPr="00BF2E00">
              <w:rPr>
                <w:rFonts w:asciiTheme="minorHAnsi" w:hAnsiTheme="minorHAnsi" w:cstheme="minorHAnsi"/>
                <w:color w:val="auto"/>
                <w:sz w:val="24"/>
              </w:rPr>
              <w:t>Binnendifferenzierung durch Schülerexperimente auf unterschiedlichen Niveaus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5"/>
              </w:numPr>
              <w:spacing w:after="0"/>
              <w:ind w:left="425" w:hanging="283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Binnendifferenzierung bei komplexeren Aufgabenstellungen</w:t>
            </w:r>
          </w:p>
        </w:tc>
      </w:tr>
      <w:tr w:rsidR="00E73087" w:rsidRPr="00F27E48" w:rsidTr="00FC1C3D">
        <w:trPr>
          <w:trHeight w:val="2852"/>
        </w:trPr>
        <w:tc>
          <w:tcPr>
            <w:tcW w:w="1038" w:type="dxa"/>
            <w:shd w:val="clear" w:color="auto" w:fill="7030A0"/>
            <w:textDirection w:val="btLr"/>
          </w:tcPr>
          <w:p w:rsidR="00E73087" w:rsidRPr="00FC1C3D" w:rsidRDefault="00D75293" w:rsidP="00BF2E00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Lernreflexion und</w:t>
            </w:r>
            <w:r w:rsidR="006E2FDE">
              <w:rPr>
                <w:rFonts w:asciiTheme="minorHAnsi" w:hAnsiTheme="minorHAnsi" w:cstheme="minorHAnsi"/>
                <w:sz w:val="24"/>
              </w:rPr>
              <w:br/>
            </w:r>
            <w:r w:rsidR="00BF2E00">
              <w:rPr>
                <w:rFonts w:asciiTheme="minorHAnsi" w:hAnsiTheme="minorHAnsi" w:cstheme="minorHAnsi"/>
                <w:sz w:val="24"/>
              </w:rPr>
              <w:t>-</w:t>
            </w:r>
            <w:r w:rsidR="00E73087" w:rsidRPr="00FC1C3D">
              <w:rPr>
                <w:rFonts w:asciiTheme="minorHAnsi" w:hAnsiTheme="minorHAnsi" w:cstheme="minorHAnsi"/>
                <w:sz w:val="24"/>
              </w:rPr>
              <w:t>organisation</w:t>
            </w:r>
          </w:p>
        </w:tc>
        <w:tc>
          <w:tcPr>
            <w:tcW w:w="3499" w:type="dxa"/>
            <w:shd w:val="clear" w:color="auto" w:fill="DAC2EC"/>
          </w:tcPr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Individuelle Lernprozesse an der Schule initiieren</w:t>
            </w:r>
          </w:p>
          <w:p w:rsidR="00E73087" w:rsidRPr="00FC1C3D" w:rsidRDefault="00E73087" w:rsidP="00FC1C3D">
            <w:pPr>
              <w:pStyle w:val="Listenabsatz"/>
              <w:spacing w:after="0"/>
              <w:ind w:left="57"/>
              <w:rPr>
                <w:rFonts w:asciiTheme="minorHAnsi" w:eastAsia="Calibri" w:hAnsiTheme="minorHAnsi" w:cstheme="minorHAnsi"/>
                <w:sz w:val="24"/>
              </w:rPr>
            </w:pPr>
          </w:p>
          <w:p w:rsidR="00E73087" w:rsidRPr="00FC1C3D" w:rsidRDefault="00E73087" w:rsidP="00FC1C3D">
            <w:pPr>
              <w:ind w:left="57"/>
              <w:rPr>
                <w:rFonts w:eastAsia="Calibri"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Lernsituationen entwickeln, die eine Planung und Reflexion bei der Bearbeitung zulassen</w:t>
            </w:r>
          </w:p>
          <w:p w:rsidR="00E73087" w:rsidRPr="00FC1C3D" w:rsidRDefault="00E73087" w:rsidP="00FC1C3D">
            <w:pPr>
              <w:pStyle w:val="Listenabsatz"/>
              <w:spacing w:after="0"/>
              <w:ind w:left="57"/>
              <w:rPr>
                <w:rFonts w:asciiTheme="minorHAnsi" w:eastAsia="Calibri" w:hAnsiTheme="minorHAnsi" w:cstheme="minorHAnsi"/>
                <w:sz w:val="24"/>
              </w:rPr>
            </w:pPr>
          </w:p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</w:p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Lernfortschritte sichtbar machen und dokumentieren</w:t>
            </w:r>
          </w:p>
        </w:tc>
        <w:tc>
          <w:tcPr>
            <w:tcW w:w="5062" w:type="dxa"/>
            <w:shd w:val="clear" w:color="auto" w:fill="DAC2EC"/>
          </w:tcPr>
          <w:p w:rsidR="00E73087" w:rsidRPr="00BF2E00" w:rsidRDefault="00D75293" w:rsidP="00D75293">
            <w:pPr>
              <w:pStyle w:val="Aufz1"/>
              <w:numPr>
                <w:ilvl w:val="0"/>
                <w:numId w:val="14"/>
              </w:numPr>
              <w:ind w:left="502"/>
              <w:rPr>
                <w:rFonts w:asciiTheme="minorHAnsi" w:hAnsiTheme="minorHAnsi" w:cstheme="minorHAnsi"/>
                <w:color w:val="auto"/>
                <w:sz w:val="24"/>
              </w:rPr>
            </w:pPr>
            <w:r w:rsidRPr="00D75293">
              <w:rPr>
                <w:rFonts w:asciiTheme="minorHAnsi" w:hAnsiTheme="minorHAnsi" w:cstheme="minorHAnsi"/>
                <w:color w:val="auto"/>
                <w:sz w:val="24"/>
              </w:rPr>
              <w:t>Schüler/innen-Mentor/innen-Programm</w:t>
            </w:r>
          </w:p>
          <w:p w:rsidR="00E73087" w:rsidRPr="00BF2E00" w:rsidRDefault="00E73087" w:rsidP="00FC1C3D">
            <w:pPr>
              <w:pStyle w:val="Aufz1"/>
              <w:ind w:left="312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:rsidR="00E73087" w:rsidRPr="00BF2E00" w:rsidRDefault="00E73087" w:rsidP="00FC1C3D">
            <w:pPr>
              <w:pStyle w:val="Aufz1"/>
              <w:ind w:left="312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:rsidR="00E73087" w:rsidRPr="00BF2E00" w:rsidRDefault="00E73087" w:rsidP="00FC1C3D">
            <w:pPr>
              <w:pStyle w:val="Aufz1"/>
              <w:numPr>
                <w:ilvl w:val="0"/>
                <w:numId w:val="14"/>
              </w:numPr>
              <w:ind w:left="502"/>
              <w:rPr>
                <w:rFonts w:asciiTheme="minorHAnsi" w:hAnsiTheme="minorHAnsi" w:cstheme="minorHAnsi"/>
                <w:color w:val="auto"/>
                <w:sz w:val="24"/>
              </w:rPr>
            </w:pPr>
            <w:r w:rsidRPr="00BF2E00">
              <w:rPr>
                <w:rFonts w:asciiTheme="minorHAnsi" w:hAnsiTheme="minorHAnsi" w:cstheme="minorHAnsi"/>
                <w:color w:val="auto"/>
                <w:sz w:val="24"/>
              </w:rPr>
              <w:t>Binnendifferenzierung durch Schülerexperimente auf unterschiedlichen Niveaus</w:t>
            </w:r>
          </w:p>
          <w:p w:rsidR="00E73087" w:rsidRPr="00FC1C3D" w:rsidRDefault="00E73087" w:rsidP="00FC1C3D">
            <w:pPr>
              <w:pStyle w:val="Aufz1"/>
              <w:numPr>
                <w:ilvl w:val="0"/>
                <w:numId w:val="14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Binnendifferenzierung bei komplexeren Aufgabenstellungen</w:t>
            </w:r>
          </w:p>
          <w:p w:rsidR="00E73087" w:rsidRPr="00FC1C3D" w:rsidRDefault="00E73087" w:rsidP="00FC1C3D">
            <w:pPr>
              <w:pStyle w:val="Aufz1"/>
              <w:numPr>
                <w:ilvl w:val="0"/>
                <w:numId w:val="8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Kopfübungen</w:t>
            </w:r>
          </w:p>
        </w:tc>
      </w:tr>
      <w:tr w:rsidR="002F2874" w:rsidRPr="00F27E48" w:rsidTr="002F2874">
        <w:trPr>
          <w:trHeight w:val="2019"/>
        </w:trPr>
        <w:tc>
          <w:tcPr>
            <w:tcW w:w="1038" w:type="dxa"/>
            <w:shd w:val="clear" w:color="auto" w:fill="00B0F0"/>
            <w:textDirection w:val="btLr"/>
          </w:tcPr>
          <w:p w:rsidR="002F2874" w:rsidRDefault="002F2874" w:rsidP="00FC1C3D">
            <w:pPr>
              <w:pStyle w:val="KeinLeerraum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 xml:space="preserve">Fach- und </w:t>
            </w:r>
          </w:p>
          <w:p w:rsidR="002F2874" w:rsidRPr="002F2874" w:rsidRDefault="00BD600B" w:rsidP="00FC1C3D">
            <w:pPr>
              <w:pStyle w:val="KeinLeerraum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Lernberatung</w:t>
            </w:r>
          </w:p>
        </w:tc>
        <w:tc>
          <w:tcPr>
            <w:tcW w:w="3499" w:type="dxa"/>
            <w:shd w:val="clear" w:color="auto" w:fill="ABDBFF"/>
          </w:tcPr>
          <w:p w:rsidR="002F2874" w:rsidRPr="002F2874" w:rsidRDefault="002F2874" w:rsidP="002F2874">
            <w:pPr>
              <w:rPr>
                <w:rFonts w:eastAsia="Calibri" w:cstheme="minorHAnsi"/>
                <w:sz w:val="24"/>
              </w:rPr>
            </w:pPr>
            <w:r w:rsidRPr="002F2874">
              <w:rPr>
                <w:rFonts w:cstheme="minorHAnsi"/>
                <w:sz w:val="24"/>
              </w:rPr>
              <w:t>Lernfort</w:t>
            </w:r>
            <w:r w:rsidR="00D75293">
              <w:rPr>
                <w:rFonts w:cstheme="minorHAnsi"/>
                <w:sz w:val="24"/>
              </w:rPr>
              <w:t>schritts- und Zielvereinbarungs</w:t>
            </w:r>
            <w:r w:rsidRPr="002F2874">
              <w:rPr>
                <w:rFonts w:cstheme="minorHAnsi"/>
                <w:sz w:val="24"/>
              </w:rPr>
              <w:t xml:space="preserve">gespräche regelmäßig führen </w:t>
            </w:r>
          </w:p>
          <w:p w:rsidR="002F2874" w:rsidRPr="002F2874" w:rsidRDefault="002F2874" w:rsidP="002F2874">
            <w:pPr>
              <w:pStyle w:val="Listenabsatz"/>
              <w:numPr>
                <w:ilvl w:val="0"/>
                <w:numId w:val="5"/>
              </w:numPr>
              <w:spacing w:after="0"/>
              <w:ind w:left="459" w:hanging="283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>Selbst gesteckte Ziele benennen</w:t>
            </w:r>
          </w:p>
          <w:p w:rsidR="002F2874" w:rsidRPr="002F2874" w:rsidRDefault="002F2874" w:rsidP="002F2874">
            <w:pPr>
              <w:pStyle w:val="Listenabsatz"/>
              <w:numPr>
                <w:ilvl w:val="0"/>
                <w:numId w:val="5"/>
              </w:numPr>
              <w:spacing w:after="0"/>
              <w:ind w:left="459" w:hanging="283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>Maßnahmen zur Zielerreichung formulieren</w:t>
            </w:r>
          </w:p>
        </w:tc>
        <w:tc>
          <w:tcPr>
            <w:tcW w:w="5062" w:type="dxa"/>
            <w:shd w:val="clear" w:color="auto" w:fill="ABDBFF"/>
          </w:tcPr>
          <w:p w:rsidR="002F2874" w:rsidRPr="002F2874" w:rsidRDefault="00BF2E00" w:rsidP="00FC1C3D">
            <w:pPr>
              <w:pStyle w:val="Aufz1"/>
              <w:numPr>
                <w:ilvl w:val="0"/>
                <w:numId w:val="13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 w:rsidRPr="00BF2E00">
              <w:rPr>
                <w:rFonts w:asciiTheme="minorHAnsi" w:hAnsiTheme="minorHAnsi" w:cstheme="minorHAnsi"/>
                <w:color w:val="auto"/>
                <w:sz w:val="24"/>
              </w:rPr>
              <w:t>Ich-kann-Listen</w:t>
            </w:r>
          </w:p>
        </w:tc>
      </w:tr>
    </w:tbl>
    <w:p w:rsidR="001D116B" w:rsidRDefault="001D116B" w:rsidP="001D116B">
      <w:pPr>
        <w:pStyle w:val="berschrift1"/>
        <w:rPr>
          <w:sz w:val="28"/>
        </w:rPr>
      </w:pPr>
      <w:r>
        <w:rPr>
          <w:sz w:val="28"/>
        </w:rPr>
        <w:lastRenderedPageBreak/>
        <w:t>Vorwort – Homepage</w:t>
      </w:r>
    </w:p>
    <w:p w:rsidR="001D116B" w:rsidRPr="00E16A17" w:rsidRDefault="001D116B" w:rsidP="001D116B">
      <w:pPr>
        <w:pStyle w:val="Textkrper"/>
        <w:rPr>
          <w:sz w:val="24"/>
          <w:szCs w:val="24"/>
        </w:rPr>
      </w:pPr>
      <w:r w:rsidRPr="00E16A17">
        <w:rPr>
          <w:sz w:val="24"/>
          <w:szCs w:val="24"/>
        </w:rPr>
        <w:t>Basierend auf den Bildungsplä</w:t>
      </w:r>
      <w:r w:rsidR="006E2FDE">
        <w:rPr>
          <w:sz w:val="24"/>
          <w:szCs w:val="24"/>
        </w:rPr>
        <w:t>nen der Eingangsklassen an den b</w:t>
      </w:r>
      <w:bookmarkStart w:id="0" w:name="_GoBack"/>
      <w:bookmarkEnd w:id="0"/>
      <w:r w:rsidRPr="00E16A17">
        <w:rPr>
          <w:sz w:val="24"/>
          <w:szCs w:val="24"/>
        </w:rPr>
        <w:t>eruflichen Gymnasien wurde</w:t>
      </w:r>
      <w:r w:rsidR="00E16A17">
        <w:rPr>
          <w:sz w:val="24"/>
          <w:szCs w:val="24"/>
        </w:rPr>
        <w:t xml:space="preserve"> </w:t>
      </w:r>
      <w:r w:rsidRPr="00E16A17">
        <w:rPr>
          <w:sz w:val="24"/>
          <w:szCs w:val="24"/>
        </w:rPr>
        <w:t>das Thema Kinematik</w:t>
      </w:r>
      <w:r w:rsidR="00E16A17">
        <w:rPr>
          <w:sz w:val="24"/>
          <w:szCs w:val="24"/>
        </w:rPr>
        <w:t xml:space="preserve"> (Lehrplaneinheit 1)</w:t>
      </w:r>
      <w:r w:rsidRPr="00E16A17">
        <w:rPr>
          <w:sz w:val="24"/>
          <w:szCs w:val="24"/>
        </w:rPr>
        <w:t xml:space="preserve"> ausgewählt.</w:t>
      </w:r>
    </w:p>
    <w:p w:rsidR="001D116B" w:rsidRDefault="001D116B" w:rsidP="001D116B">
      <w:pPr>
        <w:pStyle w:val="Textkrper-Erstzeileneinzug"/>
        <w:ind w:firstLine="0"/>
        <w:jc w:val="left"/>
      </w:pPr>
      <w:r>
        <w:t xml:space="preserve">Diese Einheit ist mit </w:t>
      </w:r>
      <w:r w:rsidR="00E16A17">
        <w:t xml:space="preserve">zehn </w:t>
      </w:r>
      <w:r>
        <w:t>Stunden</w:t>
      </w:r>
      <w:r w:rsidR="00E16A17">
        <w:t xml:space="preserve"> vorgesehen;</w:t>
      </w:r>
      <w:r>
        <w:t xml:space="preserve"> integriert </w:t>
      </w:r>
      <w:r w:rsidR="00E16A17">
        <w:t>man</w:t>
      </w:r>
      <w:r>
        <w:t xml:space="preserve"> noch die handlungsorientierte Themenbearbeitung (HOT), so </w:t>
      </w:r>
      <w:r w:rsidR="00E16A17">
        <w:t>kommen weitere</w:t>
      </w:r>
      <w:r>
        <w:t xml:space="preserve"> 15 bzw. </w:t>
      </w:r>
      <w:r w:rsidR="00E16A17">
        <w:t>zehn</w:t>
      </w:r>
      <w:r>
        <w:t xml:space="preserve"> Stunden hinzu. Je nachdem, ob es sich um einen vierstündigen oder zw</w:t>
      </w:r>
      <w:r w:rsidR="00BF2E00">
        <w:t>eistündigen Kurs handelt, kann die Thematik in den</w:t>
      </w:r>
      <w:r>
        <w:t xml:space="preserve"> ersten vier</w:t>
      </w:r>
      <w:r w:rsidR="00E16A17">
        <w:t xml:space="preserve"> Unterrichtswochen bzw.</w:t>
      </w:r>
      <w:r>
        <w:t xml:space="preserve"> </w:t>
      </w:r>
      <w:r w:rsidR="00BF2E00">
        <w:t>in</w:t>
      </w:r>
      <w:r>
        <w:t xml:space="preserve"> </w:t>
      </w:r>
      <w:r w:rsidR="00BF2E00">
        <w:t xml:space="preserve">der </w:t>
      </w:r>
      <w:r>
        <w:t xml:space="preserve">Zeit bis zu den Herbstferien </w:t>
      </w:r>
      <w:r w:rsidR="00BF2E00">
        <w:t>erarbeitet werden.</w:t>
      </w:r>
    </w:p>
    <w:p w:rsidR="001D116B" w:rsidRDefault="001D116B" w:rsidP="001D116B">
      <w:pPr>
        <w:pStyle w:val="Textkrper-Erstzeileneinzug"/>
        <w:ind w:firstLine="0"/>
        <w:jc w:val="left"/>
      </w:pPr>
    </w:p>
    <w:p w:rsidR="001D116B" w:rsidRDefault="001D116B" w:rsidP="001D116B">
      <w:pPr>
        <w:pStyle w:val="Textkrper-Erstzeileneinzug"/>
        <w:ind w:firstLine="0"/>
        <w:jc w:val="left"/>
      </w:pPr>
      <w:r>
        <w:t>Ein Stoffverteilungsplan könnte basierend auf den Bildungsplänen wie folgt aussehen</w:t>
      </w:r>
      <w:r w:rsidR="00BF2E00">
        <w:t>, wobei nicht unbedingt vorgesehen ist, alle angebotenen Materialien einzusetzen</w:t>
      </w:r>
      <w:r>
        <w:t>:</w:t>
      </w:r>
    </w:p>
    <w:p w:rsidR="001D116B" w:rsidRDefault="001D116B" w:rsidP="001D116B">
      <w:pPr>
        <w:pStyle w:val="Textkrper-Erstzeileneinzug"/>
        <w:ind w:firstLine="0"/>
        <w:jc w:val="left"/>
      </w:pPr>
    </w:p>
    <w:tbl>
      <w:tblPr>
        <w:tblStyle w:val="Tabellenraster"/>
        <w:tblW w:w="9950" w:type="dxa"/>
        <w:tblLook w:val="04A0" w:firstRow="1" w:lastRow="0" w:firstColumn="1" w:lastColumn="0" w:noHBand="0" w:noVBand="1"/>
      </w:tblPr>
      <w:tblGrid>
        <w:gridCol w:w="825"/>
        <w:gridCol w:w="3819"/>
        <w:gridCol w:w="5306"/>
      </w:tblGrid>
      <w:tr w:rsidR="001D116B" w:rsidRPr="002F5075" w:rsidTr="003856F5">
        <w:tc>
          <w:tcPr>
            <w:tcW w:w="825" w:type="dxa"/>
            <w:shd w:val="clear" w:color="auto" w:fill="D9D9D9" w:themeFill="background1" w:themeFillShade="D9"/>
          </w:tcPr>
          <w:p w:rsidR="001D116B" w:rsidRPr="00193C2A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 w:rsidRPr="00193C2A">
              <w:rPr>
                <w:b/>
              </w:rPr>
              <w:t>UE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1D116B" w:rsidRPr="00193C2A" w:rsidRDefault="00D75293" w:rsidP="00D75293">
            <w:pPr>
              <w:pStyle w:val="Textkrper-Erstzeileneinzug"/>
              <w:ind w:firstLine="0"/>
              <w:jc w:val="left"/>
              <w:rPr>
                <w:b/>
              </w:rPr>
            </w:pPr>
            <w:r>
              <w:rPr>
                <w:b/>
              </w:rPr>
              <w:t>Thema/</w:t>
            </w:r>
            <w:r w:rsidR="001D116B" w:rsidRPr="00193C2A">
              <w:rPr>
                <w:b/>
              </w:rPr>
              <w:t>Inhalte</w:t>
            </w:r>
          </w:p>
        </w:tc>
        <w:tc>
          <w:tcPr>
            <w:tcW w:w="5306" w:type="dxa"/>
            <w:shd w:val="clear" w:color="auto" w:fill="D9D9D9" w:themeFill="background1" w:themeFillShade="D9"/>
          </w:tcPr>
          <w:p w:rsidR="001D116B" w:rsidRPr="00193C2A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>
              <w:rPr>
                <w:b/>
              </w:rPr>
              <w:t>Links zu den</w:t>
            </w:r>
            <w:r w:rsidRPr="00193C2A">
              <w:rPr>
                <w:b/>
              </w:rPr>
              <w:t xml:space="preserve"> Materialien</w:t>
            </w:r>
          </w:p>
        </w:tc>
      </w:tr>
      <w:tr w:rsidR="001D116B" w:rsidTr="003856F5">
        <w:trPr>
          <w:trHeight w:val="1753"/>
        </w:trPr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 w:rsidRPr="00866ED5">
              <w:rPr>
                <w:b/>
              </w:rPr>
              <w:t>1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Be</w:t>
            </w:r>
            <w:r w:rsidR="00D75293">
              <w:t>grüßung, Organisation und</w:t>
            </w:r>
            <w:r>
              <w:t xml:space="preserve"> Sicherheitsbelehrung, Einführung in die Arbeitsmethoden der Physik: SI-Basiseinheiten</w:t>
            </w:r>
          </w:p>
        </w:tc>
        <w:tc>
          <w:tcPr>
            <w:tcW w:w="5306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 w:rsidRPr="001D116B">
              <w:rPr>
                <w:color w:val="auto"/>
              </w:rPr>
              <w:t>Schüler/innen-Mentor/innen-Programm</w:t>
            </w:r>
          </w:p>
          <w:p w:rsidR="003856F5" w:rsidRPr="001D116B" w:rsidRDefault="003856F5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(</w:t>
            </w:r>
            <w:r w:rsidRPr="003856F5">
              <w:rPr>
                <w:color w:val="auto"/>
              </w:rPr>
              <w:t>UE1.1 SchülerInnen-MentorInnen-Programm</w:t>
            </w:r>
            <w:r>
              <w:rPr>
                <w:color w:val="auto"/>
              </w:rPr>
              <w:t>.docx)</w:t>
            </w:r>
          </w:p>
          <w:p w:rsidR="001D116B" w:rsidRDefault="00EF61CB" w:rsidP="007871E7">
            <w:pPr>
              <w:pStyle w:val="Textkrper-Erstzeileneinzug"/>
              <w:ind w:firstLine="0"/>
              <w:jc w:val="left"/>
            </w:pPr>
            <w:r>
              <w:t>Präkonzept-Test</w:t>
            </w:r>
          </w:p>
          <w:p w:rsidR="0000210E" w:rsidRDefault="003856F5" w:rsidP="007871E7">
            <w:pPr>
              <w:pStyle w:val="Textkrper-Erstzeileneinzug"/>
              <w:ind w:firstLine="0"/>
              <w:jc w:val="left"/>
            </w:pPr>
            <w:r>
              <w:t>(</w:t>
            </w:r>
            <w:r w:rsidRPr="003856F5">
              <w:t>UE1.2 Präkonzept-Test Mechanik</w:t>
            </w:r>
            <w:r>
              <w:t>.docx)</w:t>
            </w:r>
          </w:p>
          <w:p w:rsidR="0000210E" w:rsidRDefault="0000210E" w:rsidP="007871E7">
            <w:pPr>
              <w:pStyle w:val="Textkrper-Erstzeileneinzug"/>
              <w:ind w:firstLine="0"/>
              <w:jc w:val="left"/>
            </w:pPr>
            <w:r>
              <w:t>Ich-kann-Listen</w:t>
            </w:r>
          </w:p>
          <w:p w:rsidR="0000210E" w:rsidRDefault="00BE23E8" w:rsidP="007871E7">
            <w:pPr>
              <w:pStyle w:val="Textkrper-Erstzeileneinzug"/>
              <w:ind w:firstLine="0"/>
              <w:jc w:val="left"/>
            </w:pPr>
            <w:r>
              <w:t>(</w:t>
            </w:r>
            <w:r w:rsidRPr="00BE23E8">
              <w:t>UE1.3 Ich-kann-Liste</w:t>
            </w:r>
            <w:r>
              <w:t>n</w:t>
            </w:r>
            <w:r w:rsidR="00860F1D">
              <w:t>.docx</w:t>
            </w:r>
            <w:r>
              <w:t>)</w:t>
            </w:r>
          </w:p>
          <w:p w:rsidR="003856F5" w:rsidRDefault="00D75293" w:rsidP="007871E7">
            <w:pPr>
              <w:pStyle w:val="Textkrper-Erstzeileneinzug"/>
              <w:ind w:firstLine="0"/>
              <w:jc w:val="left"/>
            </w:pPr>
            <w:r>
              <w:t>Physikb</w:t>
            </w:r>
            <w:r w:rsidR="003856F5">
              <w:t>rücke</w:t>
            </w:r>
          </w:p>
          <w:p w:rsidR="001D116B" w:rsidRDefault="003856F5" w:rsidP="007871E7">
            <w:pPr>
              <w:pStyle w:val="Textkrper-Erstzeileneinzug"/>
              <w:ind w:firstLine="0"/>
              <w:jc w:val="left"/>
            </w:pPr>
            <w:r>
              <w:t>(</w:t>
            </w:r>
            <w:r w:rsidR="001D116B">
              <w:t>www.physikbrücke.de</w:t>
            </w:r>
            <w:r>
              <w:t>)</w:t>
            </w:r>
          </w:p>
        </w:tc>
      </w:tr>
      <w:tr w:rsidR="001D116B" w:rsidTr="003856F5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 w:rsidRPr="00866ED5">
              <w:rPr>
                <w:b/>
              </w:rPr>
              <w:t>2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HOT: Einführung Kinematik</w:t>
            </w:r>
          </w:p>
        </w:tc>
        <w:tc>
          <w:tcPr>
            <w:tcW w:w="5306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 w:rsidRPr="005B3021">
              <w:rPr>
                <w:color w:val="auto"/>
              </w:rPr>
              <w:t>Bewegungsanalyse, binnendifferenziert</w:t>
            </w:r>
          </w:p>
          <w:p w:rsidR="005B3021" w:rsidRDefault="005B3021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(</w:t>
            </w:r>
            <w:r w:rsidRPr="005B3021">
              <w:rPr>
                <w:color w:val="auto"/>
              </w:rPr>
              <w:t>UE2.1 Bewegungsanalyse leicht</w:t>
            </w:r>
            <w:r>
              <w:rPr>
                <w:color w:val="auto"/>
              </w:rPr>
              <w:t>.docx)</w:t>
            </w:r>
          </w:p>
          <w:p w:rsidR="005B3021" w:rsidRDefault="005B3021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(</w:t>
            </w:r>
            <w:r w:rsidRPr="005B3021">
              <w:rPr>
                <w:color w:val="auto"/>
              </w:rPr>
              <w:t>UE2.2 Bewegungsanalyse schwer</w:t>
            </w:r>
            <w:r>
              <w:rPr>
                <w:color w:val="auto"/>
              </w:rPr>
              <w:t>.docx)</w:t>
            </w:r>
          </w:p>
          <w:p w:rsidR="002F28C1" w:rsidRPr="005B3021" w:rsidRDefault="002F28C1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(</w:t>
            </w:r>
            <w:r w:rsidRPr="002F28C1">
              <w:rPr>
                <w:color w:val="auto"/>
              </w:rPr>
              <w:t>UE2.3 Bewegungsanalyse - 3 Schwierigkeitsstufen</w:t>
            </w:r>
            <w:r>
              <w:rPr>
                <w:color w:val="auto"/>
              </w:rPr>
              <w:t>)</w:t>
            </w:r>
          </w:p>
          <w:p w:rsidR="001D116B" w:rsidRDefault="001D116B" w:rsidP="000B6753">
            <w:pPr>
              <w:pStyle w:val="Textkrper-Erstzeileneinzug"/>
              <w:ind w:firstLine="0"/>
              <w:jc w:val="left"/>
            </w:pPr>
            <w:r>
              <w:t>Kopfübungen Serie A</w:t>
            </w:r>
          </w:p>
          <w:p w:rsidR="005849A9" w:rsidRDefault="00314F7E" w:rsidP="000B6753">
            <w:pPr>
              <w:pStyle w:val="Textkrper-Erstzeileneinzug"/>
              <w:ind w:firstLine="0"/>
              <w:jc w:val="left"/>
            </w:pPr>
            <w:r>
              <w:t>(</w:t>
            </w:r>
            <w:r w:rsidRPr="00314F7E">
              <w:t xml:space="preserve">UE2.4 </w:t>
            </w:r>
            <w:r w:rsidR="005849A9">
              <w:t>Vorwort Kopfübungen.docx)</w:t>
            </w:r>
          </w:p>
          <w:p w:rsidR="00314F7E" w:rsidRDefault="005849A9" w:rsidP="000B6753">
            <w:pPr>
              <w:pStyle w:val="Textkrper-Erstzeileneinzug"/>
              <w:ind w:firstLine="0"/>
              <w:jc w:val="left"/>
            </w:pPr>
            <w:r>
              <w:t xml:space="preserve">(UE2.5 </w:t>
            </w:r>
            <w:r w:rsidR="0030731D">
              <w:t>Kopfü</w:t>
            </w:r>
            <w:r w:rsidR="00314F7E" w:rsidRPr="00314F7E">
              <w:t>bungen Tabelle</w:t>
            </w:r>
            <w:r w:rsidR="005C0842">
              <w:t xml:space="preserve"> A</w:t>
            </w:r>
            <w:r w:rsidR="00314F7E">
              <w:t>.docx)</w:t>
            </w:r>
          </w:p>
          <w:p w:rsidR="00314F7E" w:rsidRDefault="00314F7E" w:rsidP="0030731D">
            <w:pPr>
              <w:pStyle w:val="Textkrper-Erstzeileneinzug"/>
              <w:ind w:firstLine="0"/>
              <w:jc w:val="left"/>
            </w:pPr>
            <w:r>
              <w:t>(</w:t>
            </w:r>
            <w:r w:rsidR="005849A9">
              <w:t>UE2.6</w:t>
            </w:r>
            <w:r w:rsidR="0030731D">
              <w:t xml:space="preserve"> Kopfü</w:t>
            </w:r>
            <w:r w:rsidRPr="00314F7E">
              <w:t>bungen Serie A</w:t>
            </w:r>
            <w:r>
              <w:t>.docx)</w:t>
            </w:r>
          </w:p>
        </w:tc>
      </w:tr>
      <w:tr w:rsidR="001D116B" w:rsidRPr="00185DFE" w:rsidTr="003856F5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 w:rsidRPr="00866ED5">
              <w:rPr>
                <w:b/>
              </w:rPr>
              <w:t>3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Gleichförmige Bewegung, Gesetzmäßigkeiten finden und anwenden, mit Diagrammen umgehen</w:t>
            </w:r>
          </w:p>
        </w:tc>
        <w:tc>
          <w:tcPr>
            <w:tcW w:w="5306" w:type="dxa"/>
          </w:tcPr>
          <w:p w:rsidR="001D116B" w:rsidRDefault="00860F1D" w:rsidP="00860F1D">
            <w:pPr>
              <w:pStyle w:val="Textkrper-Erstzeileneinzug"/>
              <w:ind w:firstLine="0"/>
              <w:jc w:val="left"/>
            </w:pPr>
            <w:r>
              <w:t>Aufgabenset 1</w:t>
            </w:r>
          </w:p>
          <w:p w:rsidR="00185DFE" w:rsidRDefault="00185DFE" w:rsidP="00860F1D">
            <w:pPr>
              <w:pStyle w:val="Textkrper-Erstzeileneinzug"/>
              <w:ind w:firstLine="0"/>
              <w:jc w:val="left"/>
            </w:pPr>
            <w:r>
              <w:t>(UE3.1 Vorwort Aufgabensets.docx)</w:t>
            </w:r>
          </w:p>
          <w:p w:rsidR="00860F1D" w:rsidRDefault="00185DFE" w:rsidP="00860F1D">
            <w:pPr>
              <w:pStyle w:val="Textkrper-Erstzeileneinzug"/>
              <w:ind w:firstLine="0"/>
              <w:jc w:val="left"/>
            </w:pPr>
            <w:r>
              <w:t>(UE3.2</w:t>
            </w:r>
            <w:r w:rsidR="00860F1D">
              <w:t xml:space="preserve"> Aufgabenset 1.docx)</w:t>
            </w:r>
          </w:p>
          <w:p w:rsidR="001D116B" w:rsidRDefault="001D116B" w:rsidP="00860F1D">
            <w:pPr>
              <w:pStyle w:val="Textkrper-Erstzeileneinzug"/>
              <w:ind w:firstLine="0"/>
              <w:jc w:val="left"/>
            </w:pPr>
            <w:r>
              <w:t>REWUE 1 und 2</w:t>
            </w:r>
          </w:p>
          <w:p w:rsidR="00185DFE" w:rsidRDefault="00185DFE" w:rsidP="00860F1D">
            <w:pPr>
              <w:pStyle w:val="Textkrper-Erstzeileneinzug"/>
              <w:ind w:firstLine="0"/>
              <w:jc w:val="left"/>
            </w:pPr>
            <w:r>
              <w:t>(UE3.3 Vorwort REWUEs.docx)</w:t>
            </w:r>
          </w:p>
          <w:p w:rsidR="00860F1D" w:rsidRPr="00185DFE" w:rsidRDefault="00185DFE" w:rsidP="00860F1D">
            <w:pPr>
              <w:pStyle w:val="Textkrper-Erstzeileneinzug"/>
              <w:ind w:firstLine="0"/>
              <w:jc w:val="left"/>
            </w:pPr>
            <w:r>
              <w:t>(UE3.4</w:t>
            </w:r>
            <w:r w:rsidR="00860F1D" w:rsidRPr="00185DFE">
              <w:t xml:space="preserve"> REWUE 1</w:t>
            </w:r>
            <w:r w:rsidRPr="00185DFE">
              <w:t>.docx</w:t>
            </w:r>
            <w:r w:rsidR="00860F1D" w:rsidRPr="00185DFE">
              <w:t>)</w:t>
            </w:r>
          </w:p>
          <w:p w:rsidR="00860F1D" w:rsidRPr="00185DFE" w:rsidRDefault="00185DFE" w:rsidP="00860F1D">
            <w:pPr>
              <w:pStyle w:val="Textkrper-Erstzeileneinzug"/>
              <w:ind w:firstLine="0"/>
              <w:jc w:val="left"/>
            </w:pPr>
            <w:r>
              <w:t>(UE3.5</w:t>
            </w:r>
            <w:r w:rsidR="00860F1D" w:rsidRPr="00185DFE">
              <w:t xml:space="preserve"> REWUE 2</w:t>
            </w:r>
            <w:r w:rsidRPr="00185DFE">
              <w:t>.docx</w:t>
            </w:r>
            <w:r w:rsidR="00860F1D" w:rsidRPr="00185DFE">
              <w:t>)</w:t>
            </w:r>
          </w:p>
        </w:tc>
      </w:tr>
      <w:tr w:rsidR="001D116B" w:rsidTr="003856F5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 w:rsidRPr="00866ED5">
              <w:rPr>
                <w:b/>
              </w:rPr>
              <w:t>4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Gleichmäßig beschleunigte Bewegung, Gesetzmäßigkeiten finden und anwenden, mit Diagrammen umgehen, Beispiel</w:t>
            </w:r>
            <w:r w:rsidR="00D75293">
              <w:t>:</w:t>
            </w:r>
            <w:r>
              <w:t xml:space="preserve"> Freier Fall</w:t>
            </w:r>
          </w:p>
        </w:tc>
        <w:tc>
          <w:tcPr>
            <w:tcW w:w="5306" w:type="dxa"/>
          </w:tcPr>
          <w:p w:rsidR="001D116B" w:rsidRDefault="001D116B" w:rsidP="00185DFE">
            <w:pPr>
              <w:pStyle w:val="Textkrper-Erstzeileneinzug"/>
              <w:ind w:firstLine="0"/>
              <w:jc w:val="left"/>
            </w:pPr>
            <w:r>
              <w:t>REWUE 3</w:t>
            </w:r>
          </w:p>
          <w:p w:rsidR="00185DFE" w:rsidRDefault="00185DFE" w:rsidP="00185DFE">
            <w:pPr>
              <w:pStyle w:val="Textkrper-Erstzeileneinzug"/>
              <w:ind w:firstLine="0"/>
              <w:jc w:val="left"/>
            </w:pPr>
            <w:r>
              <w:t>(UE4.1 REWUE 3.docx)</w:t>
            </w:r>
          </w:p>
        </w:tc>
      </w:tr>
      <w:tr w:rsidR="001D116B" w:rsidTr="003856F5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Zusammengesetzte Bewegungen</w:t>
            </w:r>
          </w:p>
        </w:tc>
        <w:tc>
          <w:tcPr>
            <w:tcW w:w="5306" w:type="dxa"/>
          </w:tcPr>
          <w:p w:rsidR="001D116B" w:rsidRDefault="001D116B" w:rsidP="00185DFE">
            <w:pPr>
              <w:pStyle w:val="Textkrper-Erstzeileneinzug"/>
              <w:ind w:firstLine="0"/>
              <w:jc w:val="left"/>
            </w:pPr>
            <w:r>
              <w:t>Aufgabenset 2</w:t>
            </w:r>
          </w:p>
          <w:p w:rsidR="00185DFE" w:rsidRDefault="00185DFE" w:rsidP="00185DFE">
            <w:pPr>
              <w:pStyle w:val="Textkrper-Erstzeileneinzug"/>
              <w:ind w:firstLine="0"/>
              <w:jc w:val="left"/>
            </w:pPr>
            <w:r>
              <w:t>(UE5.1 Aufgabenset 2.docx)</w:t>
            </w:r>
          </w:p>
          <w:p w:rsidR="001D116B" w:rsidRDefault="001D116B" w:rsidP="00185DFE">
            <w:pPr>
              <w:pStyle w:val="Textkrper-Erstzeileneinzug"/>
              <w:ind w:firstLine="0"/>
              <w:jc w:val="left"/>
            </w:pPr>
            <w:r>
              <w:t>REWUE 4</w:t>
            </w:r>
          </w:p>
          <w:p w:rsidR="00185DFE" w:rsidRDefault="00185DFE" w:rsidP="00185DFE">
            <w:pPr>
              <w:pStyle w:val="Textkrper-Erstzeileneinzug"/>
              <w:ind w:firstLine="0"/>
              <w:jc w:val="left"/>
            </w:pPr>
            <w:r>
              <w:t>(UE5.2 REWUE 4.docx)</w:t>
            </w:r>
          </w:p>
          <w:p w:rsidR="001D116B" w:rsidRDefault="001D116B" w:rsidP="00185DFE">
            <w:pPr>
              <w:pStyle w:val="Textkrper-Erstzeileneinzug"/>
              <w:ind w:firstLine="0"/>
              <w:jc w:val="left"/>
            </w:pPr>
            <w:r>
              <w:t>Binnendifferenzierte</w:t>
            </w:r>
            <w:r w:rsidR="00185DFE">
              <w:t xml:space="preserve"> komplexere</w:t>
            </w:r>
            <w:r w:rsidR="00BF0590">
              <w:t xml:space="preserve"> Aufgaben</w:t>
            </w:r>
          </w:p>
          <w:p w:rsidR="00BF0590" w:rsidRDefault="00BF0590" w:rsidP="00185DFE">
            <w:pPr>
              <w:pStyle w:val="Textkrper-Erstzeileneinzug"/>
              <w:ind w:firstLine="0"/>
              <w:jc w:val="left"/>
            </w:pPr>
            <w:r>
              <w:lastRenderedPageBreak/>
              <w:t>(UE5.3 Vorwort binnendifferenzierte komplexere Aufgaben.docx)</w:t>
            </w:r>
          </w:p>
          <w:p w:rsidR="00BF0590" w:rsidRDefault="00BF0590" w:rsidP="00185DFE">
            <w:pPr>
              <w:pStyle w:val="Textkrper-Erstzeileneinzug"/>
              <w:ind w:firstLine="0"/>
              <w:jc w:val="left"/>
            </w:pPr>
            <w:r>
              <w:t>(UE5.4 Aufgabe 1 zwei Radfahrer.docx)</w:t>
            </w:r>
          </w:p>
          <w:p w:rsidR="00BF0590" w:rsidRDefault="00BF0590" w:rsidP="00185DFE">
            <w:pPr>
              <w:pStyle w:val="Textkrper-Erstzeileneinzug"/>
              <w:ind w:firstLine="0"/>
              <w:jc w:val="left"/>
            </w:pPr>
            <w:r>
              <w:t>(UE5.5 Aufgabe 2 Geschicklichkeitsspiel.docx)</w:t>
            </w:r>
          </w:p>
          <w:p w:rsidR="001D116B" w:rsidRDefault="00BF0590" w:rsidP="00BF0590">
            <w:pPr>
              <w:pStyle w:val="Textkrper-Erstzeileneinzug"/>
              <w:ind w:firstLine="0"/>
              <w:jc w:val="left"/>
            </w:pPr>
            <w:r>
              <w:t>(UE5.6 Aufgabe 3 zwei Wagen.docx)</w:t>
            </w:r>
          </w:p>
        </w:tc>
      </w:tr>
      <w:tr w:rsidR="001D116B" w:rsidTr="003856F5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HOT: Verkehrserziehung</w:t>
            </w:r>
          </w:p>
        </w:tc>
        <w:tc>
          <w:tcPr>
            <w:tcW w:w="5306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 w:rsidRPr="007D4178">
              <w:rPr>
                <w:color w:val="auto"/>
              </w:rPr>
              <w:t>Projektarbeit</w:t>
            </w:r>
            <w:r w:rsidR="007D4178">
              <w:rPr>
                <w:color w:val="auto"/>
              </w:rPr>
              <w:t xml:space="preserve"> – Verkehrssicherheit</w:t>
            </w:r>
          </w:p>
          <w:p w:rsidR="007D4178" w:rsidRDefault="00334483" w:rsidP="007871E7">
            <w:pPr>
              <w:pStyle w:val="Textkrper-Erstzeileneinzug"/>
              <w:ind w:firstLine="0"/>
              <w:jc w:val="left"/>
            </w:pPr>
            <w:r>
              <w:rPr>
                <w:color w:val="auto"/>
              </w:rPr>
              <w:t>(UE6.1 Projektarbeit Verkehrssicherheit.docx)</w:t>
            </w:r>
          </w:p>
        </w:tc>
      </w:tr>
      <w:tr w:rsidR="001D116B" w:rsidTr="003856F5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19" w:type="dxa"/>
          </w:tcPr>
          <w:p w:rsidR="001D116B" w:rsidRDefault="001D116B" w:rsidP="007871E7">
            <w:pPr>
              <w:pStyle w:val="Textkrper-Erstzeileneinzug"/>
              <w:ind w:firstLine="0"/>
              <w:jc w:val="left"/>
            </w:pPr>
            <w:r>
              <w:t>Vernetzung</w:t>
            </w:r>
          </w:p>
        </w:tc>
        <w:tc>
          <w:tcPr>
            <w:tcW w:w="5306" w:type="dxa"/>
          </w:tcPr>
          <w:p w:rsidR="001D116B" w:rsidRDefault="00334483" w:rsidP="007871E7">
            <w:pPr>
              <w:pStyle w:val="Textkrper-Erstzeileneinzug"/>
              <w:ind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Ich-kann-Listen (siehe UE1)</w:t>
            </w:r>
          </w:p>
          <w:p w:rsidR="00334483" w:rsidRDefault="00334483" w:rsidP="007871E7">
            <w:pPr>
              <w:pStyle w:val="Textkrper-Erstzeileneinzug"/>
              <w:ind w:firstLine="0"/>
              <w:jc w:val="left"/>
            </w:pPr>
            <w:r>
              <w:t>(</w:t>
            </w:r>
            <w:r w:rsidRPr="00BE23E8">
              <w:t>UE1.3 Ich-kann-Liste</w:t>
            </w:r>
            <w:r>
              <w:t>n.docx)</w:t>
            </w:r>
          </w:p>
        </w:tc>
      </w:tr>
      <w:tr w:rsidR="001D116B" w:rsidTr="00BF2E00">
        <w:tc>
          <w:tcPr>
            <w:tcW w:w="825" w:type="dxa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</w:p>
        </w:tc>
        <w:tc>
          <w:tcPr>
            <w:tcW w:w="3819" w:type="dxa"/>
            <w:shd w:val="clear" w:color="auto" w:fill="FFFFFF" w:themeFill="background1"/>
          </w:tcPr>
          <w:p w:rsidR="001D116B" w:rsidRPr="00866ED5" w:rsidRDefault="001D116B" w:rsidP="007871E7">
            <w:pPr>
              <w:pStyle w:val="Textkrper-Erstzeileneinzug"/>
              <w:ind w:firstLine="0"/>
              <w:jc w:val="left"/>
              <w:rPr>
                <w:b/>
              </w:rPr>
            </w:pPr>
            <w:r>
              <w:rPr>
                <w:b/>
              </w:rPr>
              <w:t>Weiterführendes Material</w:t>
            </w:r>
          </w:p>
        </w:tc>
        <w:tc>
          <w:tcPr>
            <w:tcW w:w="5306" w:type="dxa"/>
          </w:tcPr>
          <w:p w:rsidR="001D116B" w:rsidRDefault="001D116B" w:rsidP="005C0842">
            <w:pPr>
              <w:pStyle w:val="Textkrper-Erstzeileneinzug"/>
              <w:ind w:firstLine="0"/>
              <w:jc w:val="left"/>
            </w:pPr>
            <w:r>
              <w:t>Kopfübungen Serie B</w:t>
            </w:r>
          </w:p>
          <w:p w:rsidR="005C0842" w:rsidRDefault="0030731D" w:rsidP="005C0842">
            <w:pPr>
              <w:pStyle w:val="Textkrper-Erstzeileneinzug"/>
              <w:ind w:firstLine="0"/>
              <w:jc w:val="left"/>
            </w:pPr>
            <w:r>
              <w:t>(WM1 Kopfü</w:t>
            </w:r>
            <w:r w:rsidR="005C0842">
              <w:t>bungen Tabelle B.docx)</w:t>
            </w:r>
          </w:p>
          <w:p w:rsidR="005C0842" w:rsidRDefault="0030731D" w:rsidP="005C0842">
            <w:pPr>
              <w:pStyle w:val="Textkrper-Erstzeileneinzug"/>
              <w:ind w:firstLine="0"/>
              <w:jc w:val="left"/>
            </w:pPr>
            <w:r>
              <w:t>(WM2 Kopfü</w:t>
            </w:r>
            <w:r w:rsidR="005C0842">
              <w:t>bungen Serie B.docx)</w:t>
            </w:r>
          </w:p>
          <w:p w:rsidR="001D116B" w:rsidRDefault="001D116B" w:rsidP="005C0842">
            <w:pPr>
              <w:pStyle w:val="Textkrper-Erstzeileneinzug"/>
              <w:ind w:firstLine="0"/>
              <w:jc w:val="left"/>
            </w:pPr>
            <w:r>
              <w:t>REWUE 5 - 7 zur Lehrplaneinheit „Arbeit und Energie“</w:t>
            </w:r>
          </w:p>
          <w:p w:rsidR="005C0842" w:rsidRDefault="005C0842" w:rsidP="005C0842">
            <w:pPr>
              <w:pStyle w:val="Textkrper-Erstzeileneinzug"/>
              <w:ind w:firstLine="0"/>
              <w:jc w:val="left"/>
            </w:pPr>
            <w:r>
              <w:t>(WM3 REWUE 5.docx)</w:t>
            </w:r>
          </w:p>
          <w:p w:rsidR="005C0842" w:rsidRDefault="005C0842" w:rsidP="005C0842">
            <w:pPr>
              <w:pStyle w:val="Textkrper-Erstzeileneinzug"/>
              <w:ind w:firstLine="0"/>
              <w:jc w:val="left"/>
            </w:pPr>
            <w:r>
              <w:t>(WM4 REWUE 6.docx)</w:t>
            </w:r>
          </w:p>
          <w:p w:rsidR="005C0842" w:rsidRDefault="005C0842" w:rsidP="005C0842">
            <w:pPr>
              <w:pStyle w:val="Textkrper-Erstzeileneinzug"/>
              <w:ind w:firstLine="0"/>
              <w:jc w:val="left"/>
            </w:pPr>
            <w:r>
              <w:t>(WM5 REWUE 7.docx)</w:t>
            </w:r>
          </w:p>
          <w:p w:rsidR="001D116B" w:rsidRDefault="001D116B" w:rsidP="003263A3">
            <w:pPr>
              <w:pStyle w:val="Textkrper-Erstzeileneinzug"/>
              <w:ind w:firstLine="0"/>
              <w:jc w:val="left"/>
            </w:pPr>
            <w:r>
              <w:t xml:space="preserve">Binnendifferenzierte </w:t>
            </w:r>
            <w:r w:rsidR="003263A3">
              <w:t xml:space="preserve">komplexere </w:t>
            </w:r>
            <w:r>
              <w:t>Aufgabe zur Energieerhaltung: Gleitkörper und Feder</w:t>
            </w:r>
          </w:p>
          <w:p w:rsidR="003263A3" w:rsidRDefault="003263A3" w:rsidP="003263A3">
            <w:pPr>
              <w:pStyle w:val="Textkrper-Erstzeileneinzug"/>
              <w:ind w:firstLine="0"/>
              <w:jc w:val="left"/>
            </w:pPr>
            <w:r>
              <w:t>(WM6 Aufgabe 4 Gleitkörper und Feder.docx)</w:t>
            </w:r>
          </w:p>
        </w:tc>
      </w:tr>
    </w:tbl>
    <w:p w:rsidR="001470AD" w:rsidRDefault="001470AD"/>
    <w:sectPr w:rsidR="001470AD" w:rsidSect="00FC1C3D"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D16"/>
    <w:multiLevelType w:val="hybridMultilevel"/>
    <w:tmpl w:val="594C3C6A"/>
    <w:lvl w:ilvl="0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">
    <w:nsid w:val="04527608"/>
    <w:multiLevelType w:val="hybridMultilevel"/>
    <w:tmpl w:val="D7B02DBC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E048F"/>
    <w:multiLevelType w:val="hybridMultilevel"/>
    <w:tmpl w:val="FECEBB74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8C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B4159"/>
    <w:multiLevelType w:val="hybridMultilevel"/>
    <w:tmpl w:val="5AA2912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1BA71147"/>
    <w:multiLevelType w:val="hybridMultilevel"/>
    <w:tmpl w:val="0B5ADA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1D0D10"/>
    <w:multiLevelType w:val="hybridMultilevel"/>
    <w:tmpl w:val="C69E594A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">
    <w:nsid w:val="29C34A4A"/>
    <w:multiLevelType w:val="hybridMultilevel"/>
    <w:tmpl w:val="7E225E6A"/>
    <w:lvl w:ilvl="0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>
    <w:nsid w:val="29C700A7"/>
    <w:multiLevelType w:val="hybridMultilevel"/>
    <w:tmpl w:val="501250FE"/>
    <w:lvl w:ilvl="0" w:tplc="59A8DE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143377"/>
    <w:multiLevelType w:val="hybridMultilevel"/>
    <w:tmpl w:val="521EAD7C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C3CE4"/>
    <w:multiLevelType w:val="hybridMultilevel"/>
    <w:tmpl w:val="69F8B80A"/>
    <w:lvl w:ilvl="0" w:tplc="59A8DE4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0">
    <w:nsid w:val="36690C84"/>
    <w:multiLevelType w:val="hybridMultilevel"/>
    <w:tmpl w:val="814A7514"/>
    <w:lvl w:ilvl="0" w:tplc="71E616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1A97C55"/>
    <w:multiLevelType w:val="hybridMultilevel"/>
    <w:tmpl w:val="7BA87AAE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8C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10E4B"/>
    <w:multiLevelType w:val="hybridMultilevel"/>
    <w:tmpl w:val="CD54C8F2"/>
    <w:lvl w:ilvl="0" w:tplc="59A8DE44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0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 w:numId="10">
    <w:abstractNumId w:val="0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AD"/>
    <w:rsid w:val="0000210E"/>
    <w:rsid w:val="000B6753"/>
    <w:rsid w:val="001470AD"/>
    <w:rsid w:val="00185DFE"/>
    <w:rsid w:val="00193C2A"/>
    <w:rsid w:val="001D116B"/>
    <w:rsid w:val="00257175"/>
    <w:rsid w:val="002F2874"/>
    <w:rsid w:val="002F28C1"/>
    <w:rsid w:val="0030731D"/>
    <w:rsid w:val="00314F7E"/>
    <w:rsid w:val="003263A3"/>
    <w:rsid w:val="00334483"/>
    <w:rsid w:val="003856F5"/>
    <w:rsid w:val="003E4A12"/>
    <w:rsid w:val="005849A9"/>
    <w:rsid w:val="005B3021"/>
    <w:rsid w:val="005C0842"/>
    <w:rsid w:val="006E2FDE"/>
    <w:rsid w:val="007D4178"/>
    <w:rsid w:val="00860F1D"/>
    <w:rsid w:val="008D1800"/>
    <w:rsid w:val="00A12C83"/>
    <w:rsid w:val="00A57C7B"/>
    <w:rsid w:val="00BD600B"/>
    <w:rsid w:val="00BE23E8"/>
    <w:rsid w:val="00BF0590"/>
    <w:rsid w:val="00BF2E00"/>
    <w:rsid w:val="00CF5F8A"/>
    <w:rsid w:val="00D75293"/>
    <w:rsid w:val="00D9655E"/>
    <w:rsid w:val="00E16A17"/>
    <w:rsid w:val="00E73087"/>
    <w:rsid w:val="00EF61CB"/>
    <w:rsid w:val="00FC1C3D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link w:val="berschrift1Zchn"/>
    <w:uiPriority w:val="9"/>
    <w:qFormat/>
    <w:rsid w:val="001470AD"/>
    <w:pPr>
      <w:keepNext/>
      <w:numPr>
        <w:numId w:val="2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1470AD"/>
    <w:pPr>
      <w:keepNext/>
      <w:keepLines/>
      <w:numPr>
        <w:ilvl w:val="1"/>
        <w:numId w:val="2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1470AD"/>
    <w:pPr>
      <w:keepNext/>
      <w:keepLines/>
      <w:numPr>
        <w:ilvl w:val="2"/>
        <w:numId w:val="2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1470AD"/>
    <w:pPr>
      <w:keepNext/>
      <w:keepLines/>
      <w:numPr>
        <w:ilvl w:val="3"/>
        <w:numId w:val="2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unhideWhenUsed/>
    <w:rsid w:val="001470A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470AD"/>
  </w:style>
  <w:style w:type="paragraph" w:styleId="Textkrper-Erstzeileneinzug">
    <w:name w:val="Body Text First Indent"/>
    <w:basedOn w:val="Standard"/>
    <w:link w:val="Textkrper-ErstzeileneinzugZchn"/>
    <w:uiPriority w:val="99"/>
    <w:rsid w:val="001470AD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1470AD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470AD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470AD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70AD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470AD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470AD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1470AD"/>
    <w:rPr>
      <w:i/>
      <w:iCs/>
      <w:color w:val="404040" w:themeColor="text1" w:themeTint="BF"/>
    </w:rPr>
  </w:style>
  <w:style w:type="paragraph" w:customStyle="1" w:styleId="Aufz1">
    <w:name w:val="Aufz. 1"/>
    <w:basedOn w:val="Listenabsatz"/>
    <w:qFormat/>
    <w:rsid w:val="00E73087"/>
    <w:pPr>
      <w:spacing w:after="0" w:line="240" w:lineRule="auto"/>
      <w:ind w:left="0"/>
    </w:pPr>
  </w:style>
  <w:style w:type="paragraph" w:styleId="Listenabsatz">
    <w:name w:val="List Paragraph"/>
    <w:basedOn w:val="Standard"/>
    <w:uiPriority w:val="34"/>
    <w:qFormat/>
    <w:rsid w:val="00E73087"/>
    <w:pPr>
      <w:spacing w:after="120"/>
      <w:ind w:left="720"/>
      <w:contextualSpacing/>
    </w:pPr>
    <w:rPr>
      <w:rFonts w:ascii="Arial" w:hAnsi="Arial"/>
    </w:rPr>
  </w:style>
  <w:style w:type="paragraph" w:styleId="KeinLeerraum">
    <w:name w:val="No Spacing"/>
    <w:uiPriority w:val="1"/>
    <w:qFormat/>
    <w:rsid w:val="00E73087"/>
    <w:pPr>
      <w:spacing w:after="0" w:line="240" w:lineRule="auto"/>
    </w:pPr>
    <w:rPr>
      <w:rFonts w:ascii="Arial" w:hAnsi="Arial"/>
    </w:rPr>
  </w:style>
  <w:style w:type="paragraph" w:customStyle="1" w:styleId="Aufz2">
    <w:name w:val="Aufz. 2"/>
    <w:basedOn w:val="Aufz1"/>
    <w:qFormat/>
    <w:rsid w:val="002F2874"/>
    <w:pPr>
      <w:ind w:left="757" w:hanging="360"/>
    </w:pPr>
  </w:style>
  <w:style w:type="character" w:styleId="Hyperlink">
    <w:name w:val="Hyperlink"/>
    <w:basedOn w:val="Absatz-Standardschriftart"/>
    <w:uiPriority w:val="99"/>
    <w:unhideWhenUsed/>
    <w:rsid w:val="001D11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link w:val="berschrift1Zchn"/>
    <w:uiPriority w:val="9"/>
    <w:qFormat/>
    <w:rsid w:val="001470AD"/>
    <w:pPr>
      <w:keepNext/>
      <w:numPr>
        <w:numId w:val="2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1470AD"/>
    <w:pPr>
      <w:keepNext/>
      <w:keepLines/>
      <w:numPr>
        <w:ilvl w:val="1"/>
        <w:numId w:val="2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1470AD"/>
    <w:pPr>
      <w:keepNext/>
      <w:keepLines/>
      <w:numPr>
        <w:ilvl w:val="2"/>
        <w:numId w:val="2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1470AD"/>
    <w:pPr>
      <w:keepNext/>
      <w:keepLines/>
      <w:numPr>
        <w:ilvl w:val="3"/>
        <w:numId w:val="2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unhideWhenUsed/>
    <w:rsid w:val="001470A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470AD"/>
  </w:style>
  <w:style w:type="paragraph" w:styleId="Textkrper-Erstzeileneinzug">
    <w:name w:val="Body Text First Indent"/>
    <w:basedOn w:val="Standard"/>
    <w:link w:val="Textkrper-ErstzeileneinzugZchn"/>
    <w:uiPriority w:val="99"/>
    <w:rsid w:val="001470AD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1470AD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470AD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470AD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70AD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470AD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470AD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1470AD"/>
    <w:rPr>
      <w:i/>
      <w:iCs/>
      <w:color w:val="404040" w:themeColor="text1" w:themeTint="BF"/>
    </w:rPr>
  </w:style>
  <w:style w:type="paragraph" w:customStyle="1" w:styleId="Aufz1">
    <w:name w:val="Aufz. 1"/>
    <w:basedOn w:val="Listenabsatz"/>
    <w:qFormat/>
    <w:rsid w:val="00E73087"/>
    <w:pPr>
      <w:spacing w:after="0" w:line="240" w:lineRule="auto"/>
      <w:ind w:left="0"/>
    </w:pPr>
  </w:style>
  <w:style w:type="paragraph" w:styleId="Listenabsatz">
    <w:name w:val="List Paragraph"/>
    <w:basedOn w:val="Standard"/>
    <w:uiPriority w:val="34"/>
    <w:qFormat/>
    <w:rsid w:val="00E73087"/>
    <w:pPr>
      <w:spacing w:after="120"/>
      <w:ind w:left="720"/>
      <w:contextualSpacing/>
    </w:pPr>
    <w:rPr>
      <w:rFonts w:ascii="Arial" w:hAnsi="Arial"/>
    </w:rPr>
  </w:style>
  <w:style w:type="paragraph" w:styleId="KeinLeerraum">
    <w:name w:val="No Spacing"/>
    <w:uiPriority w:val="1"/>
    <w:qFormat/>
    <w:rsid w:val="00E73087"/>
    <w:pPr>
      <w:spacing w:after="0" w:line="240" w:lineRule="auto"/>
    </w:pPr>
    <w:rPr>
      <w:rFonts w:ascii="Arial" w:hAnsi="Arial"/>
    </w:rPr>
  </w:style>
  <w:style w:type="paragraph" w:customStyle="1" w:styleId="Aufz2">
    <w:name w:val="Aufz. 2"/>
    <w:basedOn w:val="Aufz1"/>
    <w:qFormat/>
    <w:rsid w:val="002F2874"/>
    <w:pPr>
      <w:ind w:left="757" w:hanging="360"/>
    </w:pPr>
  </w:style>
  <w:style w:type="character" w:styleId="Hyperlink">
    <w:name w:val="Hyperlink"/>
    <w:basedOn w:val="Absatz-Standardschriftart"/>
    <w:uiPriority w:val="99"/>
    <w:unhideWhenUsed/>
    <w:rsid w:val="001D11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9</cp:revision>
  <dcterms:created xsi:type="dcterms:W3CDTF">2017-10-16T11:27:00Z</dcterms:created>
  <dcterms:modified xsi:type="dcterms:W3CDTF">2018-02-05T13:31:00Z</dcterms:modified>
</cp:coreProperties>
</file>