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0A" w:rsidRPr="00126E0A" w:rsidRDefault="00126E0A" w:rsidP="00126E0A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u w:val="single"/>
          <w:lang w:eastAsia="de-DE"/>
        </w:rPr>
      </w:pPr>
      <w:r>
        <w:rPr>
          <w:rFonts w:ascii="Verdana" w:eastAsia="Times New Roman" w:hAnsi="Verdana" w:cs="Arial"/>
          <w:b/>
          <w:noProof/>
          <w:sz w:val="24"/>
          <w:szCs w:val="24"/>
          <w:u w:val="single"/>
          <w:lang w:eastAsia="de-DE"/>
        </w:rPr>
        <w:t>Arbeitsblatt</w:t>
      </w:r>
      <w:r w:rsidRPr="00126E0A">
        <w:rPr>
          <w:rFonts w:ascii="Verdana" w:eastAsia="Times New Roman" w:hAnsi="Verdana" w:cs="Arial"/>
          <w:b/>
          <w:noProof/>
          <w:sz w:val="24"/>
          <w:szCs w:val="24"/>
          <w:u w:val="single"/>
          <w:lang w:eastAsia="de-DE"/>
        </w:rPr>
        <w:t xml:space="preserve">: </w:t>
      </w:r>
      <w:r w:rsidRPr="00126E0A">
        <w:rPr>
          <w:rFonts w:ascii="Verdana" w:eastAsia="Times New Roman" w:hAnsi="Verdana" w:cs="Times New Roman"/>
          <w:b/>
          <w:sz w:val="24"/>
          <w:szCs w:val="24"/>
          <w:u w:val="single"/>
          <w:lang w:eastAsia="de-DE"/>
        </w:rPr>
        <w:t>Hörspiele  untersuchen</w:t>
      </w:r>
    </w:p>
    <w:p w:rsidR="00126E0A" w:rsidRPr="004E2B3F" w:rsidRDefault="00126E0A" w:rsidP="00126E0A">
      <w:pPr>
        <w:spacing w:after="0" w:line="240" w:lineRule="auto"/>
        <w:rPr>
          <w:rFonts w:ascii="Ink Free" w:eastAsia="Times New Roman" w:hAnsi="Ink Free" w:cs="Times New Roman"/>
          <w:b/>
          <w:sz w:val="24"/>
          <w:szCs w:val="24"/>
          <w:u w:val="single"/>
          <w:lang w:eastAsia="de-DE"/>
        </w:rPr>
      </w:pPr>
    </w:p>
    <w:p w:rsidR="00126E0A" w:rsidRDefault="00126E0A" w:rsidP="00126E0A">
      <w:pPr>
        <w:spacing w:after="0" w:line="240" w:lineRule="auto"/>
        <w:rPr>
          <w:rFonts w:ascii="Verdana" w:eastAsia="Times New Roman" w:hAnsi="Verdana" w:cs="Times New Roman"/>
          <w:noProof/>
          <w:sz w:val="18"/>
          <w:lang w:eastAsia="de-DE"/>
        </w:rPr>
      </w:pPr>
      <w:r w:rsidRPr="004E55A4">
        <w:rPr>
          <w:rFonts w:ascii="Verdana" w:eastAsia="Times New Roman" w:hAnsi="Verdana" w:cs="Times New Roman"/>
          <w:noProof/>
          <w:sz w:val="18"/>
          <w:lang w:eastAsia="de-DE"/>
        </w:rPr>
        <w:t>Man muss drei akustische Elemente beim Hörspiel unterscheiden: Stimme, Geräusch und Musik. Sie werden in unterschiedlicher Weise miteinander verbunden.</w:t>
      </w:r>
    </w:p>
    <w:p w:rsidR="00126E0A" w:rsidRPr="004E55A4" w:rsidRDefault="00126E0A" w:rsidP="00126E0A">
      <w:pPr>
        <w:spacing w:after="0" w:line="240" w:lineRule="auto"/>
        <w:rPr>
          <w:rFonts w:ascii="Verdana" w:eastAsia="Times New Roman" w:hAnsi="Verdana" w:cs="Times New Roman"/>
          <w:noProof/>
          <w:sz w:val="1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70"/>
        <w:gridCol w:w="4825"/>
        <w:gridCol w:w="4808"/>
      </w:tblGrid>
      <w:tr w:rsidR="00126E0A" w:rsidTr="00EF41DE">
        <w:tc>
          <w:tcPr>
            <w:tcW w:w="5234" w:type="dxa"/>
          </w:tcPr>
          <w:p w:rsidR="00126E0A" w:rsidRPr="004E55A4" w:rsidRDefault="00126E0A" w:rsidP="00EF41DE">
            <w:pP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 w:rsidRPr="00551D69">
              <w:rPr>
                <w:rFonts w:ascii="Verdana" w:eastAsia="Times New Roman" w:hAnsi="Verdana" w:cs="Times New Roman"/>
                <w:b/>
                <w:noProof/>
                <w:sz w:val="18"/>
                <w:lang w:eastAsia="de-DE"/>
              </w:rPr>
              <w:t>Stimmen</w:t>
            </w:r>
          </w:p>
          <w:p w:rsidR="00126E0A" w:rsidRPr="004E55A4" w:rsidRDefault="00126E0A" w:rsidP="00EF41DE">
            <w:pP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 w:rsidRPr="004E55A4"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Figuren werden nicht nur durch das Gesagte charakterisiert, sondern auch durch die Stimmeigenschaften und den Sprachausdruck. Achte auf folgende Aspekte:</w:t>
            </w:r>
          </w:p>
          <w:p w:rsidR="00126E0A" w:rsidRDefault="00126E0A" w:rsidP="00126E0A">
            <w:pPr>
              <w:pStyle w:val="Listenabsatz"/>
              <w:numPr>
                <w:ilvl w:val="0"/>
                <w:numId w:val="1"/>
              </w:numPr>
              <w:ind w:left="426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 w:rsidRPr="004E55A4"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Geschwindigkeit(swechsel)</w:t>
            </w:r>
          </w:p>
          <w:p w:rsidR="00126E0A" w:rsidRDefault="00126E0A" w:rsidP="00126E0A">
            <w:pPr>
              <w:pStyle w:val="Listenabsatz"/>
              <w:numPr>
                <w:ilvl w:val="0"/>
                <w:numId w:val="1"/>
              </w:numPr>
              <w:ind w:left="426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Pausen</w:t>
            </w:r>
          </w:p>
          <w:p w:rsidR="00126E0A" w:rsidRDefault="00126E0A" w:rsidP="00126E0A">
            <w:pPr>
              <w:pStyle w:val="Listenabsatz"/>
              <w:numPr>
                <w:ilvl w:val="0"/>
                <w:numId w:val="1"/>
              </w:numPr>
              <w:ind w:left="426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Betonung(swechsel)</w:t>
            </w:r>
          </w:p>
          <w:p w:rsidR="00126E0A" w:rsidRDefault="00126E0A" w:rsidP="00126E0A">
            <w:pPr>
              <w:pStyle w:val="Listenabsatz"/>
              <w:numPr>
                <w:ilvl w:val="0"/>
                <w:numId w:val="1"/>
              </w:numPr>
              <w:ind w:left="426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Lautstärke(nwechsel)</w:t>
            </w:r>
          </w:p>
          <w:p w:rsidR="00126E0A" w:rsidRDefault="00126E0A" w:rsidP="00126E0A">
            <w:pPr>
              <w:pStyle w:val="Listenabsatz"/>
              <w:numPr>
                <w:ilvl w:val="0"/>
                <w:numId w:val="1"/>
              </w:numPr>
              <w:ind w:left="426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Tonh</w:t>
            </w:r>
            <w:r w:rsidR="00FE6F44"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ö</w:t>
            </w: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he</w:t>
            </w:r>
          </w:p>
          <w:p w:rsidR="00126E0A" w:rsidRDefault="00126E0A" w:rsidP="00126E0A">
            <w:pPr>
              <w:pStyle w:val="Listenabsatz"/>
              <w:numPr>
                <w:ilvl w:val="0"/>
                <w:numId w:val="1"/>
              </w:numPr>
              <w:ind w:left="426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Satzmelodie (monoton, gleichmäßig, abwechs-lungsreich usw..)</w:t>
            </w:r>
          </w:p>
          <w:p w:rsidR="00126E0A" w:rsidRDefault="00126E0A" w:rsidP="00126E0A">
            <w:pPr>
              <w:pStyle w:val="Listenabsatz"/>
              <w:numPr>
                <w:ilvl w:val="0"/>
                <w:numId w:val="1"/>
              </w:numPr>
              <w:ind w:left="426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Klangfarbe der Stimme (kalt, warm, hell usw..)</w:t>
            </w:r>
          </w:p>
          <w:p w:rsidR="00126E0A" w:rsidRPr="004E55A4" w:rsidRDefault="00126E0A" w:rsidP="00126E0A">
            <w:pPr>
              <w:pStyle w:val="Listenabsatz"/>
              <w:numPr>
                <w:ilvl w:val="0"/>
                <w:numId w:val="1"/>
              </w:numPr>
              <w:ind w:left="426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Artikulation: (über-)deutlich / undeutlich, verständlich / unverständlich</w:t>
            </w:r>
          </w:p>
          <w:p w:rsidR="00126E0A" w:rsidRPr="004E55A4" w:rsidRDefault="00126E0A" w:rsidP="00EF41DE">
            <w:pP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Irreale Stimmen, die sich keiner Figur zurodnen lassen.</w:t>
            </w:r>
          </w:p>
        </w:tc>
        <w:tc>
          <w:tcPr>
            <w:tcW w:w="5234" w:type="dxa"/>
          </w:tcPr>
          <w:p w:rsidR="00126E0A" w:rsidRDefault="00126E0A" w:rsidP="00EF41DE">
            <w:pP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 w:rsidRPr="00551D69">
              <w:rPr>
                <w:rFonts w:ascii="Verdana" w:eastAsia="Times New Roman" w:hAnsi="Verdana" w:cs="Times New Roman"/>
                <w:b/>
                <w:noProof/>
                <w:sz w:val="18"/>
                <w:lang w:eastAsia="de-DE"/>
              </w:rPr>
              <w:t>Geräusche</w:t>
            </w:r>
          </w:p>
          <w:p w:rsidR="00126E0A" w:rsidRDefault="00126E0A" w:rsidP="00EF41DE">
            <w:pP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Es gibt verschiedene Geräusche:</w:t>
            </w:r>
          </w:p>
          <w:p w:rsidR="00126E0A" w:rsidRDefault="00126E0A" w:rsidP="00EF41DE">
            <w:pP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 xml:space="preserve">Realistische / unrealistische, eindeutige / mehrdeutigem, rätselhafte </w:t>
            </w:r>
          </w:p>
          <w:p w:rsidR="00126E0A" w:rsidRDefault="00126E0A" w:rsidP="00EF41DE">
            <w:pP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</w:p>
          <w:p w:rsidR="00126E0A" w:rsidRPr="00551D69" w:rsidRDefault="00126E0A" w:rsidP="00EF41DE">
            <w:pP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 w:rsidRPr="00551D69"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Sie haben verschiedene Funktionen:</w:t>
            </w:r>
          </w:p>
          <w:p w:rsidR="00126E0A" w:rsidRDefault="00126E0A" w:rsidP="00126E0A">
            <w:pPr>
              <w:pStyle w:val="Listenabsatz"/>
              <w:numPr>
                <w:ilvl w:val="0"/>
                <w:numId w:val="2"/>
              </w:numPr>
              <w:ind w:left="436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 xml:space="preserve">Rauminformation (Geräusche, die der Verortung helfen, zum Beispiel ein einfahrender Zug im Bahnhof) </w:t>
            </w:r>
          </w:p>
          <w:p w:rsidR="00126E0A" w:rsidRDefault="00126E0A" w:rsidP="00126E0A">
            <w:pPr>
              <w:pStyle w:val="Listenabsatz"/>
              <w:numPr>
                <w:ilvl w:val="0"/>
                <w:numId w:val="2"/>
              </w:numPr>
              <w:ind w:left="436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Ereignisgeräusche (Schritte, Türschlagen, Detonation usw.)</w:t>
            </w:r>
          </w:p>
          <w:p w:rsidR="00126E0A" w:rsidRDefault="00126E0A" w:rsidP="00126E0A">
            <w:pPr>
              <w:pStyle w:val="Listenabsatz"/>
              <w:numPr>
                <w:ilvl w:val="0"/>
                <w:numId w:val="2"/>
              </w:numPr>
              <w:ind w:left="436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Gliederungssignal beim Szenenwechsel</w:t>
            </w:r>
          </w:p>
          <w:p w:rsidR="00126E0A" w:rsidRDefault="00126E0A" w:rsidP="00126E0A">
            <w:pPr>
              <w:pStyle w:val="Listenabsatz"/>
              <w:numPr>
                <w:ilvl w:val="0"/>
                <w:numId w:val="2"/>
              </w:numPr>
              <w:ind w:left="436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Stimmungsverdeutlichung (Gefühle der Angst, der Freude, des</w:t>
            </w:r>
            <w:r w:rsidR="00FE6F44"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 xml:space="preserve"> </w:t>
            </w: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Überschwangs usw.)</w:t>
            </w:r>
          </w:p>
          <w:p w:rsidR="00126E0A" w:rsidRPr="00551D69" w:rsidRDefault="00FE6F44" w:rsidP="00126E0A">
            <w:pPr>
              <w:pStyle w:val="Listenabsatz"/>
              <w:numPr>
                <w:ilvl w:val="0"/>
                <w:numId w:val="2"/>
              </w:numPr>
              <w:ind w:left="436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 xml:space="preserve">Dienen als </w:t>
            </w:r>
            <w:r w:rsidR="00126E0A"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Leitmotiv</w:t>
            </w: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e (Stadtgeräusche)</w:t>
            </w:r>
          </w:p>
        </w:tc>
        <w:tc>
          <w:tcPr>
            <w:tcW w:w="5234" w:type="dxa"/>
          </w:tcPr>
          <w:p w:rsidR="00126E0A" w:rsidRPr="00551D69" w:rsidRDefault="00126E0A" w:rsidP="00EF41DE">
            <w:pP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 w:rsidRPr="00551D69">
              <w:rPr>
                <w:rFonts w:ascii="Verdana" w:eastAsia="Times New Roman" w:hAnsi="Verdana" w:cs="Times New Roman"/>
                <w:b/>
                <w:noProof/>
                <w:sz w:val="18"/>
                <w:lang w:eastAsia="de-DE"/>
              </w:rPr>
              <w:t>Musik</w:t>
            </w:r>
          </w:p>
          <w:p w:rsidR="00126E0A" w:rsidRDefault="00126E0A" w:rsidP="00EF41DE">
            <w:pP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Zur Musik zählen auch Töne</w:t>
            </w:r>
            <w:r w:rsidR="00FE6F44"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 xml:space="preserve"> </w:t>
            </w: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und Klänge, sie haben verschiedene Funktionen:</w:t>
            </w:r>
          </w:p>
          <w:p w:rsidR="00126E0A" w:rsidRDefault="00126E0A" w:rsidP="00126E0A">
            <w:pPr>
              <w:pStyle w:val="Listenabsatz"/>
              <w:numPr>
                <w:ilvl w:val="0"/>
                <w:numId w:val="3"/>
              </w:numPr>
              <w:ind w:left="447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 w:rsidRPr="00551D69"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Rauminformation</w:t>
            </w: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 xml:space="preserve"> (Geräuschkulisse einer Bar)</w:t>
            </w:r>
          </w:p>
          <w:p w:rsidR="00126E0A" w:rsidRDefault="00126E0A" w:rsidP="00126E0A">
            <w:pPr>
              <w:pStyle w:val="Listenabsatz"/>
              <w:numPr>
                <w:ilvl w:val="0"/>
                <w:numId w:val="3"/>
              </w:numPr>
              <w:ind w:left="447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Gliederungssignal (Intro, Szenentrenner)</w:t>
            </w:r>
          </w:p>
          <w:p w:rsidR="00126E0A" w:rsidRDefault="00126E0A" w:rsidP="00126E0A">
            <w:pPr>
              <w:pStyle w:val="Listenabsatz"/>
              <w:numPr>
                <w:ilvl w:val="0"/>
                <w:numId w:val="3"/>
              </w:numPr>
              <w:ind w:left="447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Stimmungsverdeutlichung (Gefühle der Angst, der Freude, des</w:t>
            </w:r>
            <w:r w:rsidR="00FE6F44"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 xml:space="preserve"> </w:t>
            </w: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Überschwangs usw.)</w:t>
            </w:r>
          </w:p>
          <w:p w:rsidR="00126E0A" w:rsidRDefault="00126E0A" w:rsidP="00126E0A">
            <w:pPr>
              <w:pStyle w:val="Listenabsatz"/>
              <w:numPr>
                <w:ilvl w:val="0"/>
                <w:numId w:val="3"/>
              </w:numPr>
              <w:ind w:left="447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Leitmotiv</w:t>
            </w:r>
          </w:p>
          <w:p w:rsidR="00126E0A" w:rsidRDefault="00126E0A" w:rsidP="00126E0A">
            <w:pPr>
              <w:pStyle w:val="Listenabsatz"/>
              <w:numPr>
                <w:ilvl w:val="0"/>
                <w:numId w:val="3"/>
              </w:numPr>
              <w:ind w:left="447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Bekannte Melodie mit bestimmter Bedeutung</w:t>
            </w:r>
          </w:p>
          <w:p w:rsidR="00126E0A" w:rsidRDefault="00126E0A" w:rsidP="00EF41DE">
            <w:pP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</w:p>
          <w:p w:rsidR="00126E0A" w:rsidRDefault="00126E0A" w:rsidP="00EF41DE">
            <w:pP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Die Handlung und die Musik können in unterschiedlicher Beziehung stehen:</w:t>
            </w:r>
          </w:p>
          <w:p w:rsidR="00126E0A" w:rsidRDefault="00126E0A" w:rsidP="00126E0A">
            <w:pPr>
              <w:pStyle w:val="Listenabsatz"/>
              <w:numPr>
                <w:ilvl w:val="0"/>
                <w:numId w:val="4"/>
              </w:numPr>
              <w:ind w:left="447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Teil der Handlung (reale Musik, zum Beispiel aus dem Radio)</w:t>
            </w:r>
          </w:p>
          <w:p w:rsidR="00126E0A" w:rsidRDefault="00126E0A" w:rsidP="00126E0A">
            <w:pPr>
              <w:pStyle w:val="Listenabsatz"/>
              <w:numPr>
                <w:ilvl w:val="0"/>
                <w:numId w:val="4"/>
              </w:numPr>
              <w:ind w:left="447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Irreale Handlungsmusik, die keine reale Quelle der Handlung ist</w:t>
            </w:r>
          </w:p>
          <w:p w:rsidR="00126E0A" w:rsidRDefault="00126E0A" w:rsidP="00126E0A">
            <w:pPr>
              <w:pStyle w:val="Listenabsatz"/>
              <w:numPr>
                <w:ilvl w:val="0"/>
                <w:numId w:val="4"/>
              </w:numPr>
              <w:ind w:left="447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 xml:space="preserve">Die Handlung wird untermalt </w:t>
            </w:r>
          </w:p>
          <w:p w:rsidR="00126E0A" w:rsidRDefault="00126E0A" w:rsidP="00126E0A">
            <w:pPr>
              <w:pStyle w:val="Listenabsatz"/>
              <w:numPr>
                <w:ilvl w:val="0"/>
                <w:numId w:val="4"/>
              </w:numPr>
              <w:ind w:left="447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Kontrast zur Handlung</w:t>
            </w:r>
          </w:p>
          <w:p w:rsidR="00126E0A" w:rsidRPr="00551D69" w:rsidRDefault="00126E0A" w:rsidP="00126E0A">
            <w:pPr>
              <w:pStyle w:val="Listenabsatz"/>
              <w:numPr>
                <w:ilvl w:val="0"/>
                <w:numId w:val="4"/>
              </w:numPr>
              <w:ind w:left="447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Darstellung innerer Befindlichkeiten der Figuren, die sich auf der Sprachebene nicht ausdrücken lassen (z.B. tragische Musik für traurige / entscheidende Momente)</w:t>
            </w:r>
          </w:p>
        </w:tc>
      </w:tr>
      <w:tr w:rsidR="00126E0A" w:rsidTr="00EF41DE">
        <w:tc>
          <w:tcPr>
            <w:tcW w:w="15702" w:type="dxa"/>
            <w:gridSpan w:val="3"/>
          </w:tcPr>
          <w:p w:rsidR="00126E0A" w:rsidRDefault="00126E0A" w:rsidP="00EF41DE">
            <w:pPr>
              <w:jc w:val="center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 w:rsidRPr="00551D69">
              <w:rPr>
                <w:rFonts w:ascii="Verdana" w:eastAsia="Times New Roman" w:hAnsi="Verdana" w:cs="Times New Roman"/>
                <w:b/>
                <w:noProof/>
                <w:sz w:val="18"/>
                <w:lang w:eastAsia="de-DE"/>
              </w:rPr>
              <w:t>Montage</w:t>
            </w: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 xml:space="preserve"> </w:t>
            </w:r>
          </w:p>
          <w:p w:rsidR="00126E0A" w:rsidRDefault="00126E0A" w:rsidP="00EF41DE">
            <w:pPr>
              <w:jc w:val="center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 w:rsidRPr="00551D69"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Die Szenen und akustischen Elemente lassen sich verbinden:</w:t>
            </w:r>
          </w:p>
          <w:p w:rsidR="00126E0A" w:rsidRDefault="00126E0A" w:rsidP="00FE6F44">
            <w:pPr>
              <w:pStyle w:val="Listenabsatz"/>
              <w:numPr>
                <w:ilvl w:val="0"/>
                <w:numId w:val="5"/>
              </w:numPr>
              <w:ind w:left="4820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Abblenden (leiser werden)</w:t>
            </w:r>
          </w:p>
          <w:p w:rsidR="00126E0A" w:rsidRDefault="00126E0A" w:rsidP="00FE6F44">
            <w:pPr>
              <w:pStyle w:val="Listenabsatz"/>
              <w:numPr>
                <w:ilvl w:val="0"/>
                <w:numId w:val="5"/>
              </w:numPr>
              <w:ind w:left="4820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Aufblenden (lauter werden)</w:t>
            </w:r>
          </w:p>
          <w:p w:rsidR="00126E0A" w:rsidRDefault="00126E0A" w:rsidP="00FE6F44">
            <w:pPr>
              <w:pStyle w:val="Listenabsatz"/>
              <w:numPr>
                <w:ilvl w:val="0"/>
                <w:numId w:val="5"/>
              </w:numPr>
              <w:ind w:left="4820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Überblenden (Verbindung aus Ausblenden und Aufblenden)</w:t>
            </w:r>
          </w:p>
          <w:p w:rsidR="00126E0A" w:rsidRDefault="00126E0A" w:rsidP="00FE6F44">
            <w:pPr>
              <w:pStyle w:val="Listenabsatz"/>
              <w:numPr>
                <w:ilvl w:val="0"/>
                <w:numId w:val="5"/>
              </w:numPr>
              <w:ind w:left="4820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Schnitt (deutliche Zäsur)</w:t>
            </w:r>
          </w:p>
          <w:p w:rsidR="00126E0A" w:rsidRPr="00551D69" w:rsidRDefault="00126E0A" w:rsidP="00FE6F44">
            <w:pPr>
              <w:pStyle w:val="Listenabsatz"/>
              <w:numPr>
                <w:ilvl w:val="0"/>
                <w:numId w:val="5"/>
              </w:numPr>
              <w:ind w:left="4820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Mischung (Überblendung mehrer Klangquellen</w:t>
            </w:r>
          </w:p>
          <w:p w:rsidR="00126E0A" w:rsidRPr="00551D69" w:rsidRDefault="00126E0A" w:rsidP="00EF41DE">
            <w:pPr>
              <w:jc w:val="center"/>
              <w:rPr>
                <w:rFonts w:ascii="Verdana" w:eastAsia="Times New Roman" w:hAnsi="Verdana" w:cs="Times New Roman"/>
                <w:b/>
                <w:noProof/>
                <w:sz w:val="18"/>
                <w:lang w:eastAsia="de-DE"/>
              </w:rPr>
            </w:pPr>
          </w:p>
        </w:tc>
      </w:tr>
      <w:tr w:rsidR="00126E0A" w:rsidTr="00EF41DE">
        <w:tc>
          <w:tcPr>
            <w:tcW w:w="15702" w:type="dxa"/>
            <w:gridSpan w:val="3"/>
          </w:tcPr>
          <w:p w:rsidR="00126E0A" w:rsidRDefault="00126E0A" w:rsidP="00EF41DE">
            <w:pPr>
              <w:jc w:val="center"/>
              <w:rPr>
                <w:rFonts w:ascii="Verdana" w:eastAsia="Times New Roman" w:hAnsi="Verdana" w:cs="Times New Roman"/>
                <w:b/>
                <w:noProof/>
                <w:sz w:val="18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lang w:eastAsia="de-DE"/>
              </w:rPr>
              <w:t>Raumklang</w:t>
            </w:r>
          </w:p>
          <w:p w:rsidR="00126E0A" w:rsidRDefault="00126E0A" w:rsidP="00EF41DE">
            <w:pPr>
              <w:jc w:val="center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  <w:r w:rsidRPr="00551D69"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  <w:t>Stimme, Musik und Geräusche erzeugen beim Zuhörenden eine Vorstellung von der Raumgröße.</w:t>
            </w:r>
          </w:p>
          <w:p w:rsidR="00126E0A" w:rsidRPr="00551D69" w:rsidRDefault="00126E0A" w:rsidP="00EF41DE">
            <w:pPr>
              <w:jc w:val="center"/>
              <w:rPr>
                <w:rFonts w:ascii="Verdana" w:eastAsia="Times New Roman" w:hAnsi="Verdana" w:cs="Times New Roman"/>
                <w:noProof/>
                <w:sz w:val="18"/>
                <w:lang w:eastAsia="de-DE"/>
              </w:rPr>
            </w:pPr>
          </w:p>
        </w:tc>
      </w:tr>
    </w:tbl>
    <w:p w:rsidR="00126E0A" w:rsidRDefault="00126E0A" w:rsidP="00126E0A">
      <w:pPr>
        <w:rPr>
          <w:rFonts w:ascii="Verdana" w:eastAsia="Times New Roman" w:hAnsi="Verdana" w:cs="Times New Roman"/>
          <w:i/>
          <w:noProof/>
          <w:sz w:val="16"/>
          <w:lang w:eastAsia="de-DE"/>
        </w:rPr>
      </w:pPr>
    </w:p>
    <w:p w:rsidR="00126E0A" w:rsidRPr="003E0E00" w:rsidRDefault="00126E0A" w:rsidP="00126E0A">
      <w:pPr>
        <w:rPr>
          <w:rFonts w:ascii="Verdana" w:eastAsia="Times New Roman" w:hAnsi="Verdana" w:cs="Times New Roman"/>
          <w:i/>
          <w:noProof/>
          <w:sz w:val="16"/>
          <w:lang w:eastAsia="de-DE"/>
        </w:rPr>
      </w:pPr>
      <w:r w:rsidRPr="001B699F">
        <w:rPr>
          <w:rFonts w:ascii="Verdana" w:eastAsia="Times New Roman" w:hAnsi="Verdana" w:cs="Times New Roman"/>
          <w:i/>
          <w:noProof/>
          <w:sz w:val="16"/>
          <w:lang w:eastAsia="de-DE"/>
        </w:rPr>
        <w:t>Nach: Infoblatt</w:t>
      </w:r>
      <w:r>
        <w:rPr>
          <w:rFonts w:ascii="Verdana" w:eastAsia="Times New Roman" w:hAnsi="Verdana" w:cs="Times New Roman"/>
          <w:i/>
          <w:noProof/>
          <w:sz w:val="16"/>
          <w:lang w:eastAsia="de-DE"/>
        </w:rPr>
        <w:t xml:space="preserve"> - Elemente</w:t>
      </w:r>
      <w:r w:rsidRPr="001B699F">
        <w:rPr>
          <w:rFonts w:ascii="Verdana" w:eastAsia="Times New Roman" w:hAnsi="Verdana" w:cs="Times New Roman"/>
          <w:i/>
          <w:noProof/>
          <w:sz w:val="16"/>
          <w:lang w:eastAsia="de-DE"/>
        </w:rPr>
        <w:t xml:space="preserve"> des Hörspiels (Fortbildungsmaterial</w:t>
      </w:r>
      <w:r>
        <w:rPr>
          <w:rFonts w:ascii="Verdana" w:eastAsia="Times New Roman" w:hAnsi="Verdana" w:cs="Times New Roman"/>
          <w:i/>
          <w:noProof/>
          <w:sz w:val="16"/>
          <w:lang w:eastAsia="de-DE"/>
        </w:rPr>
        <w:t xml:space="preserve"> des Multiplikatorenteams, RP Karlsruhe,</w:t>
      </w:r>
      <w:r w:rsidRPr="001B699F">
        <w:rPr>
          <w:rFonts w:ascii="Verdana" w:eastAsia="Times New Roman" w:hAnsi="Verdana" w:cs="Times New Roman"/>
          <w:i/>
          <w:noProof/>
          <w:sz w:val="16"/>
          <w:lang w:eastAsia="de-DE"/>
        </w:rPr>
        <w:t xml:space="preserve"> 2019)</w:t>
      </w:r>
    </w:p>
    <w:p w:rsidR="00237EA4" w:rsidRDefault="00237EA4"/>
    <w:sectPr w:rsidR="00237EA4" w:rsidSect="00126E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4FD" w:rsidRDefault="009654FD" w:rsidP="009654FD">
      <w:pPr>
        <w:spacing w:after="0" w:line="240" w:lineRule="auto"/>
      </w:pPr>
      <w:r>
        <w:separator/>
      </w:r>
    </w:p>
  </w:endnote>
  <w:endnote w:type="continuationSeparator" w:id="0">
    <w:p w:rsidR="009654FD" w:rsidRDefault="009654FD" w:rsidP="0096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altName w:val="Tahom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FD" w:rsidRDefault="009654F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FD" w:rsidRDefault="009654F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FD" w:rsidRDefault="009654F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4FD" w:rsidRDefault="009654FD" w:rsidP="009654FD">
      <w:pPr>
        <w:spacing w:after="0" w:line="240" w:lineRule="auto"/>
      </w:pPr>
      <w:r>
        <w:separator/>
      </w:r>
    </w:p>
  </w:footnote>
  <w:footnote w:type="continuationSeparator" w:id="0">
    <w:p w:rsidR="009654FD" w:rsidRDefault="009654FD" w:rsidP="0096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FD" w:rsidRDefault="009654F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FD" w:rsidRDefault="009654FD" w:rsidP="009654FD">
    <w:pPr>
      <w:pStyle w:val="Textkrper"/>
      <w:spacing w:line="14" w:lineRule="auto"/>
      <w:ind w:left="0" w:firstLine="0"/>
      <w:rPr>
        <w:sz w:val="20"/>
      </w:rPr>
    </w:pPr>
    <w:r>
      <w:rPr>
        <w:noProof/>
        <w:lang w:val="de-DE" w:eastAsia="de-DE"/>
      </w:rPr>
      <w:drawing>
        <wp:anchor distT="0" distB="0" distL="0" distR="0" simplePos="0" relativeHeight="251659264" behindDoc="1" locked="0" layoutInCell="1" allowOverlap="1" wp14:anchorId="59341274" wp14:editId="3DB4C3A8">
          <wp:simplePos x="0" y="0"/>
          <wp:positionH relativeFrom="page">
            <wp:posOffset>762409</wp:posOffset>
          </wp:positionH>
          <wp:positionV relativeFrom="page">
            <wp:posOffset>312865</wp:posOffset>
          </wp:positionV>
          <wp:extent cx="1114409" cy="29648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4409" cy="296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700405</wp:posOffset>
              </wp:positionH>
              <wp:positionV relativeFrom="page">
                <wp:posOffset>688975</wp:posOffset>
              </wp:positionV>
              <wp:extent cx="5979160" cy="0"/>
              <wp:effectExtent l="0" t="0" r="0" b="0"/>
              <wp:wrapNone/>
              <wp:docPr id="3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916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15pt,54.25pt" to="525.9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" strokeweight=".48pt">
              <w10:wrap anchorx="page" anchory="page"/>
            </v:lin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2628265</wp:posOffset>
              </wp:positionH>
              <wp:positionV relativeFrom="page">
                <wp:posOffset>537210</wp:posOffset>
              </wp:positionV>
              <wp:extent cx="2303145" cy="14859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4FD" w:rsidRPr="00BF1512" w:rsidRDefault="009654FD" w:rsidP="009654FD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 w:rsidRPr="00BF1512">
                            <w:rPr>
                              <w:sz w:val="16"/>
                            </w:rPr>
                            <w:t xml:space="preserve">Fachredaktion Deutsch, </w:t>
                          </w:r>
                          <w:hyperlink r:id="rId2">
                            <w:r w:rsidRPr="00BF1512">
                              <w:rPr>
                                <w:sz w:val="16"/>
                              </w:rPr>
                              <w:t>www.deutsch-bw.de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06.95pt;margin-top:42.3pt;width:181.35pt;height:11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99dsAIAAKk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" filled="f" stroked="f">
              <v:textbox inset="0,0,0,0">
                <w:txbxContent>
                  <w:p w:rsidR="009654FD" w:rsidRPr="00BF1512" w:rsidRDefault="009654FD" w:rsidP="009654FD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 w:rsidRPr="00BF1512">
                      <w:rPr>
                        <w:sz w:val="16"/>
                      </w:rPr>
                      <w:t xml:space="preserve">Fachredaktion Deutsch, </w:t>
                    </w:r>
                    <w:hyperlink r:id="rId3">
                      <w:r w:rsidRPr="00BF1512">
                        <w:rPr>
                          <w:sz w:val="16"/>
                        </w:rPr>
                        <w:t>www.deutsch-bw.de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:rsidR="009654FD" w:rsidRDefault="009654FD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FD" w:rsidRDefault="009654F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5471"/>
    <w:multiLevelType w:val="hybridMultilevel"/>
    <w:tmpl w:val="58E26D8A"/>
    <w:lvl w:ilvl="0" w:tplc="51EADBCC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A4305"/>
    <w:multiLevelType w:val="hybridMultilevel"/>
    <w:tmpl w:val="32F0AFEE"/>
    <w:lvl w:ilvl="0" w:tplc="51EADBCC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03D5D"/>
    <w:multiLevelType w:val="hybridMultilevel"/>
    <w:tmpl w:val="ABDA71B0"/>
    <w:lvl w:ilvl="0" w:tplc="51EADBCC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603F1"/>
    <w:multiLevelType w:val="hybridMultilevel"/>
    <w:tmpl w:val="CFE294E4"/>
    <w:lvl w:ilvl="0" w:tplc="51EADBCC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A59AD"/>
    <w:multiLevelType w:val="hybridMultilevel"/>
    <w:tmpl w:val="1E4A4322"/>
    <w:lvl w:ilvl="0" w:tplc="51EADBCC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0A"/>
    <w:rsid w:val="00126E0A"/>
    <w:rsid w:val="00237EA4"/>
    <w:rsid w:val="009654FD"/>
    <w:rsid w:val="00F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6E0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6E0A"/>
    <w:pPr>
      <w:ind w:left="720"/>
      <w:contextualSpacing/>
    </w:pPr>
  </w:style>
  <w:style w:type="table" w:styleId="Tabellenraster">
    <w:name w:val="Table Grid"/>
    <w:basedOn w:val="NormaleTabelle"/>
    <w:uiPriority w:val="59"/>
    <w:rsid w:val="00126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965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54FD"/>
  </w:style>
  <w:style w:type="paragraph" w:styleId="Fuzeile">
    <w:name w:val="footer"/>
    <w:basedOn w:val="Standard"/>
    <w:link w:val="FuzeileZchn"/>
    <w:uiPriority w:val="99"/>
    <w:unhideWhenUsed/>
    <w:rsid w:val="00965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54FD"/>
  </w:style>
  <w:style w:type="paragraph" w:styleId="Textkrper">
    <w:name w:val="Body Text"/>
    <w:basedOn w:val="Standard"/>
    <w:link w:val="TextkrperZchn"/>
    <w:uiPriority w:val="1"/>
    <w:qFormat/>
    <w:rsid w:val="009654FD"/>
    <w:pPr>
      <w:widowControl w:val="0"/>
      <w:autoSpaceDE w:val="0"/>
      <w:autoSpaceDN w:val="0"/>
      <w:spacing w:after="0" w:line="240" w:lineRule="auto"/>
      <w:ind w:left="1557" w:hanging="361"/>
    </w:pPr>
    <w:rPr>
      <w:rFonts w:ascii="MS Reference Sans Serif" w:eastAsia="MS Reference Sans Serif" w:hAnsi="MS Reference Sans Serif" w:cs="MS Reference Sans Serif"/>
      <w:sz w:val="18"/>
      <w:szCs w:val="18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9654FD"/>
    <w:rPr>
      <w:rFonts w:ascii="MS Reference Sans Serif" w:eastAsia="MS Reference Sans Serif" w:hAnsi="MS Reference Sans Serif" w:cs="MS Reference Sans Serif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6E0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6E0A"/>
    <w:pPr>
      <w:ind w:left="720"/>
      <w:contextualSpacing/>
    </w:pPr>
  </w:style>
  <w:style w:type="table" w:styleId="Tabellenraster">
    <w:name w:val="Table Grid"/>
    <w:basedOn w:val="NormaleTabelle"/>
    <w:uiPriority w:val="59"/>
    <w:rsid w:val="00126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965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54FD"/>
  </w:style>
  <w:style w:type="paragraph" w:styleId="Fuzeile">
    <w:name w:val="footer"/>
    <w:basedOn w:val="Standard"/>
    <w:link w:val="FuzeileZchn"/>
    <w:uiPriority w:val="99"/>
    <w:unhideWhenUsed/>
    <w:rsid w:val="00965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54FD"/>
  </w:style>
  <w:style w:type="paragraph" w:styleId="Textkrper">
    <w:name w:val="Body Text"/>
    <w:basedOn w:val="Standard"/>
    <w:link w:val="TextkrperZchn"/>
    <w:uiPriority w:val="1"/>
    <w:qFormat/>
    <w:rsid w:val="009654FD"/>
    <w:pPr>
      <w:widowControl w:val="0"/>
      <w:autoSpaceDE w:val="0"/>
      <w:autoSpaceDN w:val="0"/>
      <w:spacing w:after="0" w:line="240" w:lineRule="auto"/>
      <w:ind w:left="1557" w:hanging="361"/>
    </w:pPr>
    <w:rPr>
      <w:rFonts w:ascii="MS Reference Sans Serif" w:eastAsia="MS Reference Sans Serif" w:hAnsi="MS Reference Sans Serif" w:cs="MS Reference Sans Serif"/>
      <w:sz w:val="18"/>
      <w:szCs w:val="18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9654FD"/>
    <w:rPr>
      <w:rFonts w:ascii="MS Reference Sans Serif" w:eastAsia="MS Reference Sans Serif" w:hAnsi="MS Reference Sans Serif" w:cs="MS Reference Sans Serif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utsch-bw.de/" TargetMode="External"/><Relationship Id="rId2" Type="http://schemas.openxmlformats.org/officeDocument/2006/relationships/hyperlink" Target="http://www.deutsch-bw.de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3</cp:revision>
  <cp:lastPrinted>2020-02-06T10:30:00Z</cp:lastPrinted>
  <dcterms:created xsi:type="dcterms:W3CDTF">2020-01-14T07:59:00Z</dcterms:created>
  <dcterms:modified xsi:type="dcterms:W3CDTF">2020-02-06T10:30:00Z</dcterms:modified>
</cp:coreProperties>
</file>