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7424"/>
      </w:tblGrid>
      <w:tr w:rsidR="000C614E" w:rsidRPr="000C614E" w14:paraId="0FE27A3F" w14:textId="77777777" w:rsidTr="00E77B37">
        <w:tc>
          <w:tcPr>
            <w:tcW w:w="2209" w:type="dxa"/>
            <w:tcBorders>
              <w:left w:val="single" w:sz="4" w:space="0" w:color="auto"/>
              <w:bottom w:val="single" w:sz="4" w:space="0" w:color="auto"/>
              <w:right w:val="single" w:sz="4" w:space="0" w:color="auto"/>
            </w:tcBorders>
            <w:shd w:val="clear" w:color="auto" w:fill="FFFFFF" w:themeFill="background1"/>
            <w:vAlign w:val="center"/>
          </w:tcPr>
          <w:p w14:paraId="0FE27A3D" w14:textId="3212C211" w:rsidR="000C614E" w:rsidRPr="000C614E" w:rsidRDefault="000C614E" w:rsidP="007B1BFE">
            <w:pPr>
              <w:pStyle w:val="tLernfeldKopf-Titel"/>
              <w:rPr>
                <w:sz w:val="22"/>
                <w:szCs w:val="22"/>
              </w:rPr>
            </w:pPr>
            <w:r w:rsidRPr="000C614E">
              <w:rPr>
                <w:sz w:val="22"/>
                <w:szCs w:val="22"/>
              </w:rPr>
              <w:t>W</w:t>
            </w:r>
            <w:r w:rsidR="006E27BF">
              <w:rPr>
                <w:sz w:val="22"/>
                <w:szCs w:val="22"/>
              </w:rPr>
              <w:t>BK</w:t>
            </w:r>
            <w:r w:rsidRPr="000C614E">
              <w:rPr>
                <w:sz w:val="22"/>
                <w:szCs w:val="22"/>
              </w:rPr>
              <w:t>-LF</w:t>
            </w:r>
            <w:r w:rsidR="007302E1">
              <w:rPr>
                <w:sz w:val="22"/>
                <w:szCs w:val="22"/>
              </w:rPr>
              <w:t>10</w:t>
            </w:r>
            <w:r w:rsidRPr="000C614E">
              <w:rPr>
                <w:sz w:val="22"/>
                <w:szCs w:val="22"/>
              </w:rPr>
              <w:t>-LS</w:t>
            </w:r>
            <w:r w:rsidR="007302E1">
              <w:rPr>
                <w:sz w:val="22"/>
                <w:szCs w:val="22"/>
              </w:rPr>
              <w:t>07</w:t>
            </w:r>
          </w:p>
        </w:tc>
        <w:tc>
          <w:tcPr>
            <w:tcW w:w="7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01F88C34" w:rsidR="000C614E" w:rsidRPr="000C614E" w:rsidRDefault="007302E1" w:rsidP="00C738ED">
            <w:pPr>
              <w:pStyle w:val="tLernfeldKopf-Titel"/>
              <w:rPr>
                <w:sz w:val="22"/>
                <w:szCs w:val="22"/>
              </w:rPr>
            </w:pPr>
            <w:r>
              <w:rPr>
                <w:sz w:val="22"/>
                <w:szCs w:val="22"/>
              </w:rPr>
              <w:t>Geldschöpfung der Zentralbank und der Geschäftsbanken erläutern</w:t>
            </w:r>
          </w:p>
        </w:tc>
      </w:tr>
    </w:tbl>
    <w:p w14:paraId="54BE922A" w14:textId="09CD01AE" w:rsidR="004E064B" w:rsidRPr="00E03288" w:rsidRDefault="0031464C" w:rsidP="0042595A">
      <w:pPr>
        <w:pStyle w:val="TextkrperGrauhinterlegt"/>
        <w:rPr>
          <w:rStyle w:val="Fett"/>
        </w:rPr>
      </w:pPr>
      <w:r w:rsidRPr="0042595A">
        <w:rPr>
          <w:rStyle w:val="Fett"/>
          <w:noProof/>
        </w:rPr>
        <w:drawing>
          <wp:anchor distT="0" distB="0" distL="114300" distR="114300" simplePos="0" relativeHeight="251680768" behindDoc="1" locked="0" layoutInCell="1" allowOverlap="1" wp14:anchorId="1DC7E433" wp14:editId="2F43BA41">
            <wp:simplePos x="0" y="0"/>
            <wp:positionH relativeFrom="column">
              <wp:posOffset>4763135</wp:posOffset>
            </wp:positionH>
            <wp:positionV relativeFrom="paragraph">
              <wp:posOffset>683260</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4E064B">
        <w:rPr>
          <w:rStyle w:val="Fett"/>
        </w:rPr>
        <w:t>Situation</w:t>
      </w:r>
    </w:p>
    <w:p w14:paraId="1B9CEEE4" w14:textId="42F1C6A9" w:rsidR="00973BF5" w:rsidRDefault="007302E1" w:rsidP="0073050C">
      <w:pPr>
        <w:pStyle w:val="TextSituation"/>
        <w:spacing w:after="60" w:line="276" w:lineRule="auto"/>
      </w:pPr>
      <w:r>
        <w:t>Der Vorstand der</w:t>
      </w:r>
      <w:r w:rsidR="00AE43F4">
        <w:t xml:space="preserve"> </w:t>
      </w:r>
      <w:proofErr w:type="spellStart"/>
      <w:r w:rsidR="00AE43F4">
        <w:t>Sparbank</w:t>
      </w:r>
      <w:proofErr w:type="spellEnd"/>
      <w:r w:rsidR="002E1811">
        <w:t> </w:t>
      </w:r>
      <w:r w:rsidR="00AE43F4">
        <w:t>AG</w:t>
      </w:r>
      <w:r>
        <w:t xml:space="preserve"> hat </w:t>
      </w:r>
      <w:r w:rsidR="00D075F5">
        <w:t xml:space="preserve">vor drei Wochen </w:t>
      </w:r>
      <w:r>
        <w:t>beschlossen,</w:t>
      </w:r>
      <w:r w:rsidR="00D075F5">
        <w:t xml:space="preserve"> </w:t>
      </w:r>
      <w:r>
        <w:t>ab Beginn des</w:t>
      </w:r>
      <w:r w:rsidR="00973BF5">
        <w:t xml:space="preserve"> kommenden </w:t>
      </w:r>
      <w:r>
        <w:t>Monats ein</w:t>
      </w:r>
      <w:r w:rsidR="005F4BD1">
        <w:t xml:space="preserve"> Verwahrentgelt in Höhe von 0,5 </w:t>
      </w:r>
      <w:r>
        <w:t>% auf alle Einlagen mit einer Gesamthöhe von mehr als 25</w:t>
      </w:r>
      <w:r w:rsidR="00973BF5">
        <w:t>.</w:t>
      </w:r>
      <w:r w:rsidR="005F4BD1">
        <w:t>000 </w:t>
      </w:r>
      <w:r>
        <w:t>Euro einzuführen.</w:t>
      </w:r>
      <w:r w:rsidR="00E332C4">
        <w:t xml:space="preserve"> </w:t>
      </w:r>
      <w:r w:rsidR="00025EDC">
        <w:t>Viele Kundinnen und Kunden</w:t>
      </w:r>
      <w:r w:rsidR="00D075F5">
        <w:t xml:space="preserve"> haben auf diese Entscheidung inzwischen mit großer Empörung reagiert und in vielen Gesprächen ihrem Ärger Ausdruck verliehen. </w:t>
      </w:r>
      <w:r w:rsidR="003F2C0E">
        <w:t>Auch in der Öffentlichkeit wird das Vorgehen der Bank stark kritisiert.</w:t>
      </w:r>
    </w:p>
    <w:p w14:paraId="0E10EE37" w14:textId="77777777" w:rsidR="00973BF5" w:rsidRDefault="00973BF5" w:rsidP="0073050C">
      <w:pPr>
        <w:pStyle w:val="TextSituation"/>
        <w:spacing w:after="60" w:line="276" w:lineRule="auto"/>
      </w:pPr>
    </w:p>
    <w:p w14:paraId="62A48FF1" w14:textId="3B0E08EC" w:rsidR="00B95965" w:rsidRDefault="00C13E79" w:rsidP="0073050C">
      <w:pPr>
        <w:pStyle w:val="TextSituation"/>
        <w:spacing w:after="60" w:line="276" w:lineRule="auto"/>
      </w:pPr>
      <w:r>
        <w:t xml:space="preserve">Heute erhalten Sie </w:t>
      </w:r>
      <w:r w:rsidR="00764B48">
        <w:t>von dem</w:t>
      </w:r>
      <w:r w:rsidR="009875D3">
        <w:t xml:space="preserve"> Vorstandsvorsitzenden Mirko Steinle</w:t>
      </w:r>
      <w:r>
        <w:t xml:space="preserve"> eine Intranet-Mitteilung</w:t>
      </w:r>
      <w:r w:rsidR="00764B48">
        <w:t>.</w:t>
      </w:r>
    </w:p>
    <w:p w14:paraId="0FE27A42" w14:textId="104C6BD6" w:rsidR="00394779" w:rsidRPr="00E03288" w:rsidRDefault="00394779" w:rsidP="00394779">
      <w:pPr>
        <w:pStyle w:val="TextkrperGrauhinterlegt"/>
        <w:rPr>
          <w:rStyle w:val="Fett"/>
        </w:rPr>
      </w:pPr>
      <w:bookmarkStart w:id="0" w:name="_Hlk58321248"/>
      <w:r w:rsidRPr="00E03288">
        <w:rPr>
          <w:rStyle w:val="Fett"/>
        </w:rPr>
        <w:t>Auftr</w:t>
      </w:r>
      <w:r w:rsidR="006550DF">
        <w:rPr>
          <w:rStyle w:val="Fett"/>
        </w:rPr>
        <w:t>ä</w:t>
      </w:r>
      <w:r w:rsidR="00B95965">
        <w:rPr>
          <w:rStyle w:val="Fett"/>
        </w:rPr>
        <w:t>g</w:t>
      </w:r>
      <w:r w:rsidR="006550DF">
        <w:rPr>
          <w:rStyle w:val="Fett"/>
        </w:rPr>
        <w:t>e</w:t>
      </w:r>
    </w:p>
    <w:bookmarkEnd w:id="0"/>
    <w:p w14:paraId="0CF66B39" w14:textId="12F32968" w:rsidR="00E77B37" w:rsidRDefault="004B523E" w:rsidP="0073050C">
      <w:pPr>
        <w:pStyle w:val="TextAuftrge"/>
        <w:numPr>
          <w:ilvl w:val="0"/>
          <w:numId w:val="8"/>
        </w:numPr>
        <w:spacing w:before="0" w:after="60" w:line="276" w:lineRule="auto"/>
        <w:ind w:left="425"/>
      </w:pPr>
      <w:r>
        <w:t xml:space="preserve">Erstellen Sie </w:t>
      </w:r>
      <w:r w:rsidR="00B95965">
        <w:t>eine Präsentation zum Thema „Geldschöpfung“</w:t>
      </w:r>
      <w:r w:rsidR="00A23676">
        <w:t>.</w:t>
      </w:r>
    </w:p>
    <w:p w14:paraId="040EB52C" w14:textId="77777777" w:rsidR="00764B48" w:rsidRDefault="00764B48" w:rsidP="0073050C">
      <w:pPr>
        <w:pStyle w:val="TextAuftrge"/>
        <w:numPr>
          <w:ilvl w:val="0"/>
          <w:numId w:val="0"/>
        </w:numPr>
        <w:spacing w:before="0" w:after="60" w:line="276" w:lineRule="auto"/>
        <w:ind w:left="425"/>
      </w:pPr>
    </w:p>
    <w:p w14:paraId="0A9E97AE" w14:textId="15052C25" w:rsidR="0031464C" w:rsidRPr="00383366" w:rsidRDefault="0031464C" w:rsidP="0031464C">
      <w:pPr>
        <w:pStyle w:val="TextkrperGrauhinterlegt"/>
        <w:shd w:val="clear" w:color="auto" w:fill="F2F2F2" w:themeFill="background1" w:themeFillShade="F2"/>
        <w:rPr>
          <w:rFonts w:ascii="Times New Roman" w:hAnsi="Times New Roman"/>
          <w:b/>
          <w:i/>
          <w:vanish/>
          <w:color w:val="FF0000"/>
        </w:rPr>
      </w:pPr>
      <w:r w:rsidRPr="00383366">
        <w:rPr>
          <w:rFonts w:ascii="Times New Roman" w:hAnsi="Times New Roman"/>
          <w:b/>
          <w:i/>
          <w:vanish/>
          <w:color w:val="FF0000"/>
        </w:rPr>
        <w:t>Lösungshinweis</w:t>
      </w:r>
      <w:r w:rsidR="00E81651">
        <w:rPr>
          <w:rFonts w:ascii="Times New Roman" w:hAnsi="Times New Roman"/>
          <w:b/>
          <w:i/>
          <w:vanish/>
          <w:color w:val="FF0000"/>
        </w:rPr>
        <w:t>e</w:t>
      </w:r>
    </w:p>
    <w:p w14:paraId="31C1A249" w14:textId="77777777" w:rsidR="00B95CC3" w:rsidRDefault="00067D81" w:rsidP="0073050C">
      <w:p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Die umfangreichen Themenaspekte und Materialien erlauben im Hinblick auf die Gestaltung der maximal 30-minütigen Präsentation zahlreiche individuelle Spielräume. Als zentrale Inhalte, die in der Präsentation enthalten sein sollten, können folgende </w:t>
      </w:r>
      <w:r w:rsidR="00B95CC3">
        <w:rPr>
          <w:rFonts w:ascii="Times New Roman" w:hAnsi="Times New Roman" w:cs="Times New Roman"/>
          <w:i/>
          <w:iCs/>
          <w:vanish/>
          <w:color w:val="FF0000"/>
        </w:rPr>
        <w:t>Punkte</w:t>
      </w:r>
      <w:r>
        <w:rPr>
          <w:rFonts w:ascii="Times New Roman" w:hAnsi="Times New Roman" w:cs="Times New Roman"/>
          <w:i/>
          <w:iCs/>
          <w:vanish/>
          <w:color w:val="FF0000"/>
        </w:rPr>
        <w:t xml:space="preserve"> gelten</w:t>
      </w:r>
      <w:r w:rsidR="00B95CC3">
        <w:rPr>
          <w:rFonts w:ascii="Times New Roman" w:hAnsi="Times New Roman" w:cs="Times New Roman"/>
          <w:i/>
          <w:iCs/>
          <w:vanish/>
          <w:color w:val="FF0000"/>
        </w:rPr>
        <w:t>:</w:t>
      </w:r>
    </w:p>
    <w:p w14:paraId="26AA88CB" w14:textId="462BEEB8" w:rsidR="006B3979" w:rsidRDefault="00B95CC3" w:rsidP="0073050C">
      <w:pPr>
        <w:pStyle w:val="Listenabsatz"/>
        <w:numPr>
          <w:ilvl w:val="0"/>
          <w:numId w:val="17"/>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Die Kreditvergabe der Geschäftsbanken erfolgt immer mit neu geschaffenem Giralgeld. Einlagen anderer </w:t>
      </w:r>
      <w:r w:rsidR="00FC3B25">
        <w:rPr>
          <w:rFonts w:ascii="Times New Roman" w:hAnsi="Times New Roman" w:cs="Times New Roman"/>
          <w:i/>
          <w:iCs/>
          <w:vanish/>
          <w:color w:val="FF0000"/>
        </w:rPr>
        <w:t xml:space="preserve">Kundinnen und </w:t>
      </w:r>
      <w:r>
        <w:rPr>
          <w:rFonts w:ascii="Times New Roman" w:hAnsi="Times New Roman" w:cs="Times New Roman"/>
          <w:i/>
          <w:iCs/>
          <w:vanish/>
          <w:color w:val="FF0000"/>
        </w:rPr>
        <w:t>Kunden sind dafür nicht erforderlich. Die Kreditvergabe ist also keine Vermittlung zwischen Einlagenkunden und Kreditkunden. Banken benötigen keine Einlagen, sondern schaffen diese mit der Kreditvergabe selbst, aus dem Nichts.</w:t>
      </w:r>
    </w:p>
    <w:p w14:paraId="45B03012" w14:textId="45670C2B" w:rsidR="00B95CC3" w:rsidRDefault="00B95CC3" w:rsidP="0073050C">
      <w:pPr>
        <w:pStyle w:val="Listenabsatz"/>
        <w:numPr>
          <w:ilvl w:val="0"/>
          <w:numId w:val="17"/>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Der Ankauf von Vermögenswerten und die</w:t>
      </w:r>
      <w:r w:rsidR="00FD5E44">
        <w:rPr>
          <w:rFonts w:ascii="Times New Roman" w:hAnsi="Times New Roman" w:cs="Times New Roman"/>
          <w:i/>
          <w:iCs/>
          <w:vanish/>
          <w:color w:val="FF0000"/>
        </w:rPr>
        <w:t xml:space="preserve"> Abwicklung von Zahlungen aus dem Ausland schaffen ebenfalls neues Giralgeld.</w:t>
      </w:r>
    </w:p>
    <w:p w14:paraId="1D4AB519" w14:textId="18A33187" w:rsidR="00FD5E44" w:rsidRDefault="00FD5E44" w:rsidP="0073050C">
      <w:pPr>
        <w:pStyle w:val="Listenabsatz"/>
        <w:numPr>
          <w:ilvl w:val="0"/>
          <w:numId w:val="17"/>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Entsprechend wird Giralgeld in den entgegengesetzten Fällen wieder vernichtet.</w:t>
      </w:r>
    </w:p>
    <w:p w14:paraId="47AFC51C" w14:textId="40B4C81D" w:rsidR="00FD5E44" w:rsidRDefault="00FD5E44" w:rsidP="0073050C">
      <w:pPr>
        <w:pStyle w:val="Listenabsatz"/>
        <w:numPr>
          <w:ilvl w:val="0"/>
          <w:numId w:val="17"/>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Die Giralgeldschöpfung kann ein beträchtliches Ausmaß annehmen. Sie hat die Geldmenge </w:t>
      </w:r>
      <w:r w:rsidR="00A73DF4">
        <w:rPr>
          <w:rFonts w:ascii="Times New Roman" w:hAnsi="Times New Roman" w:cs="Times New Roman"/>
          <w:i/>
          <w:iCs/>
          <w:vanish/>
          <w:color w:val="FF0000"/>
        </w:rPr>
        <w:t xml:space="preserve">im Euroraum </w:t>
      </w:r>
      <w:r w:rsidR="00363605">
        <w:rPr>
          <w:rFonts w:ascii="Times New Roman" w:hAnsi="Times New Roman" w:cs="Times New Roman"/>
          <w:i/>
          <w:iCs/>
          <w:vanish/>
          <w:color w:val="FF0000"/>
        </w:rPr>
        <w:t>in den vergangenen 40 </w:t>
      </w:r>
      <w:r>
        <w:rPr>
          <w:rFonts w:ascii="Times New Roman" w:hAnsi="Times New Roman" w:cs="Times New Roman"/>
          <w:i/>
          <w:iCs/>
          <w:vanish/>
          <w:color w:val="FF0000"/>
        </w:rPr>
        <w:t xml:space="preserve">Jahren extrem erweitert. Dadurch ist </w:t>
      </w:r>
      <w:r w:rsidR="00E81651">
        <w:rPr>
          <w:rFonts w:ascii="Times New Roman" w:hAnsi="Times New Roman" w:cs="Times New Roman"/>
          <w:i/>
          <w:iCs/>
          <w:vanish/>
          <w:color w:val="FF0000"/>
        </w:rPr>
        <w:t xml:space="preserve">auch </w:t>
      </w:r>
      <w:r>
        <w:rPr>
          <w:rFonts w:ascii="Times New Roman" w:hAnsi="Times New Roman" w:cs="Times New Roman"/>
          <w:i/>
          <w:iCs/>
          <w:vanish/>
          <w:color w:val="FF0000"/>
        </w:rPr>
        <w:t xml:space="preserve">das Geldvermögen </w:t>
      </w:r>
      <w:r w:rsidR="00E81651">
        <w:rPr>
          <w:rFonts w:ascii="Times New Roman" w:hAnsi="Times New Roman" w:cs="Times New Roman"/>
          <w:i/>
          <w:iCs/>
          <w:vanish/>
          <w:color w:val="FF0000"/>
        </w:rPr>
        <w:t xml:space="preserve">ebenso wie der Wert des Sachvermögens </w:t>
      </w:r>
      <w:r>
        <w:rPr>
          <w:rFonts w:ascii="Times New Roman" w:hAnsi="Times New Roman" w:cs="Times New Roman"/>
          <w:i/>
          <w:iCs/>
          <w:vanish/>
          <w:color w:val="FF0000"/>
        </w:rPr>
        <w:t xml:space="preserve">stark </w:t>
      </w:r>
      <w:r w:rsidR="00E81651">
        <w:rPr>
          <w:rFonts w:ascii="Times New Roman" w:hAnsi="Times New Roman" w:cs="Times New Roman"/>
          <w:i/>
          <w:iCs/>
          <w:vanish/>
          <w:color w:val="FF0000"/>
        </w:rPr>
        <w:t xml:space="preserve">gewachsen. </w:t>
      </w:r>
      <w:r>
        <w:rPr>
          <w:rFonts w:ascii="Times New Roman" w:hAnsi="Times New Roman" w:cs="Times New Roman"/>
          <w:i/>
          <w:iCs/>
          <w:vanish/>
          <w:color w:val="FF0000"/>
        </w:rPr>
        <w:t xml:space="preserve">Dagegen ist die Gütermenge </w:t>
      </w:r>
      <w:r w:rsidR="00A73DF4">
        <w:rPr>
          <w:rFonts w:ascii="Times New Roman" w:hAnsi="Times New Roman" w:cs="Times New Roman"/>
          <w:i/>
          <w:iCs/>
          <w:vanish/>
          <w:color w:val="FF0000"/>
        </w:rPr>
        <w:t xml:space="preserve">ebenso wie die Inflation im Euroraum </w:t>
      </w:r>
      <w:r>
        <w:rPr>
          <w:rFonts w:ascii="Times New Roman" w:hAnsi="Times New Roman" w:cs="Times New Roman"/>
          <w:i/>
          <w:iCs/>
          <w:vanish/>
          <w:color w:val="FF0000"/>
        </w:rPr>
        <w:t>deutlich weniger stark gestiegen.</w:t>
      </w:r>
    </w:p>
    <w:p w14:paraId="0829E47E" w14:textId="502045B9" w:rsidR="00FD5E44" w:rsidRDefault="00A73DF4" w:rsidP="0073050C">
      <w:pPr>
        <w:pStyle w:val="Listenabsatz"/>
        <w:numPr>
          <w:ilvl w:val="0"/>
          <w:numId w:val="17"/>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Die Giralgeldschöpfung wird auf der Kundenseite begrenzt durch eine sinkende Kreditnachfrage. Auf der </w:t>
      </w:r>
      <w:r w:rsidR="00E81651">
        <w:rPr>
          <w:rFonts w:ascii="Times New Roman" w:hAnsi="Times New Roman" w:cs="Times New Roman"/>
          <w:i/>
          <w:iCs/>
          <w:vanish/>
          <w:color w:val="FF0000"/>
        </w:rPr>
        <w:t>Kreditangebots</w:t>
      </w:r>
      <w:r>
        <w:rPr>
          <w:rFonts w:ascii="Times New Roman" w:hAnsi="Times New Roman" w:cs="Times New Roman"/>
          <w:i/>
          <w:iCs/>
          <w:vanish/>
          <w:color w:val="FF0000"/>
        </w:rPr>
        <w:t>seite ist die risikoadjustierte Rentabilität der Kreditvergabe entscheidend. Daneben können Regulierungsvorgaben und die Geldpolitik der Zentralbank das Kreditangebot einschränken.</w:t>
      </w:r>
    </w:p>
    <w:p w14:paraId="19104791" w14:textId="77777777" w:rsidR="00FC3B25" w:rsidRDefault="00A73DF4" w:rsidP="0073050C">
      <w:pPr>
        <w:pStyle w:val="Listenabsatz"/>
        <w:numPr>
          <w:ilvl w:val="0"/>
          <w:numId w:val="17"/>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Die Zentralbankgeldschöpfung erfolgt in gleicher Weise wie die Giralgeldschöpfung</w:t>
      </w:r>
      <w:r w:rsidR="00E81651">
        <w:rPr>
          <w:rFonts w:ascii="Times New Roman" w:hAnsi="Times New Roman" w:cs="Times New Roman"/>
          <w:i/>
          <w:iCs/>
          <w:vanish/>
          <w:color w:val="FF0000"/>
        </w:rPr>
        <w:t>.</w:t>
      </w:r>
      <w:r w:rsidR="00392B48">
        <w:rPr>
          <w:rFonts w:ascii="Times New Roman" w:hAnsi="Times New Roman" w:cs="Times New Roman"/>
          <w:i/>
          <w:iCs/>
          <w:vanish/>
          <w:color w:val="FF0000"/>
        </w:rPr>
        <w:t xml:space="preserve"> </w:t>
      </w:r>
    </w:p>
    <w:p w14:paraId="3C7BDE8F" w14:textId="77777777" w:rsidR="00FC3B25" w:rsidRDefault="00E81651" w:rsidP="00FC3B25">
      <w:pPr>
        <w:pStyle w:val="Listenabsatz"/>
        <w:spacing w:after="60" w:line="276" w:lineRule="auto"/>
        <w:ind w:left="831"/>
        <w:jc w:val="both"/>
        <w:rPr>
          <w:rFonts w:ascii="Times New Roman" w:hAnsi="Times New Roman" w:cs="Times New Roman"/>
          <w:i/>
          <w:iCs/>
          <w:vanish/>
          <w:color w:val="FF0000"/>
        </w:rPr>
      </w:pPr>
      <w:r>
        <w:rPr>
          <w:rFonts w:ascii="Times New Roman" w:hAnsi="Times New Roman" w:cs="Times New Roman"/>
          <w:i/>
          <w:iCs/>
          <w:vanish/>
          <w:color w:val="FF0000"/>
        </w:rPr>
        <w:t>E</w:t>
      </w:r>
      <w:r w:rsidR="00392B48">
        <w:rPr>
          <w:rFonts w:ascii="Times New Roman" w:hAnsi="Times New Roman" w:cs="Times New Roman"/>
          <w:i/>
          <w:iCs/>
          <w:vanish/>
          <w:color w:val="FF0000"/>
        </w:rPr>
        <w:t xml:space="preserve">inerseits durch </w:t>
      </w:r>
      <w:r>
        <w:rPr>
          <w:rFonts w:ascii="Times New Roman" w:hAnsi="Times New Roman" w:cs="Times New Roman"/>
          <w:i/>
          <w:iCs/>
          <w:vanish/>
          <w:color w:val="FF0000"/>
        </w:rPr>
        <w:t xml:space="preserve">eine </w:t>
      </w:r>
      <w:r w:rsidR="00392B48">
        <w:rPr>
          <w:rFonts w:ascii="Times New Roman" w:hAnsi="Times New Roman" w:cs="Times New Roman"/>
          <w:i/>
          <w:iCs/>
          <w:vanish/>
          <w:color w:val="FF0000"/>
        </w:rPr>
        <w:t xml:space="preserve">Kreditvergabe </w:t>
      </w:r>
      <w:r>
        <w:rPr>
          <w:rFonts w:ascii="Times New Roman" w:hAnsi="Times New Roman" w:cs="Times New Roman"/>
          <w:i/>
          <w:iCs/>
          <w:vanish/>
          <w:color w:val="FF0000"/>
        </w:rPr>
        <w:t xml:space="preserve">der Zentralbank </w:t>
      </w:r>
      <w:r w:rsidR="00392B48">
        <w:rPr>
          <w:rFonts w:ascii="Times New Roman" w:hAnsi="Times New Roman" w:cs="Times New Roman"/>
          <w:i/>
          <w:iCs/>
          <w:vanish/>
          <w:color w:val="FF0000"/>
        </w:rPr>
        <w:t>an die Geschäftsbanken: hier haben sich die Laufzeiten</w:t>
      </w:r>
      <w:r>
        <w:rPr>
          <w:rFonts w:ascii="Times New Roman" w:hAnsi="Times New Roman" w:cs="Times New Roman"/>
          <w:i/>
          <w:iCs/>
          <w:vanish/>
          <w:color w:val="FF0000"/>
        </w:rPr>
        <w:t>,</w:t>
      </w:r>
      <w:r w:rsidR="00392B48">
        <w:rPr>
          <w:rFonts w:ascii="Times New Roman" w:hAnsi="Times New Roman" w:cs="Times New Roman"/>
          <w:i/>
          <w:iCs/>
          <w:vanish/>
          <w:color w:val="FF0000"/>
        </w:rPr>
        <w:t xml:space="preserve"> Konditionen </w:t>
      </w:r>
      <w:r>
        <w:rPr>
          <w:rFonts w:ascii="Times New Roman" w:hAnsi="Times New Roman" w:cs="Times New Roman"/>
          <w:i/>
          <w:iCs/>
          <w:vanish/>
          <w:color w:val="FF0000"/>
        </w:rPr>
        <w:t xml:space="preserve">und Volumina </w:t>
      </w:r>
      <w:r w:rsidR="00392B48">
        <w:rPr>
          <w:rFonts w:ascii="Times New Roman" w:hAnsi="Times New Roman" w:cs="Times New Roman"/>
          <w:i/>
          <w:iCs/>
          <w:vanish/>
          <w:color w:val="FF0000"/>
        </w:rPr>
        <w:t xml:space="preserve">der EZB-Kredite im Zeitablauf extrem verändert. Während früher eine begrenzte Menge von Zentralbankgeld für sehr kurze Zeit verzinslich aufgenommen werden konnte, werden heute mehrjährige </w:t>
      </w:r>
      <w:r w:rsidR="00190951">
        <w:rPr>
          <w:rFonts w:ascii="Times New Roman" w:hAnsi="Times New Roman" w:cs="Times New Roman"/>
          <w:i/>
          <w:iCs/>
          <w:vanish/>
          <w:color w:val="FF0000"/>
        </w:rPr>
        <w:t xml:space="preserve">gigantisch hohe </w:t>
      </w:r>
      <w:r w:rsidR="00392B48">
        <w:rPr>
          <w:rFonts w:ascii="Times New Roman" w:hAnsi="Times New Roman" w:cs="Times New Roman"/>
          <w:i/>
          <w:iCs/>
          <w:vanish/>
          <w:color w:val="FF0000"/>
        </w:rPr>
        <w:t>Kredite</w:t>
      </w:r>
      <w:r w:rsidR="00190951">
        <w:rPr>
          <w:rFonts w:ascii="Times New Roman" w:hAnsi="Times New Roman" w:cs="Times New Roman"/>
          <w:i/>
          <w:iCs/>
          <w:vanish/>
          <w:color w:val="FF0000"/>
        </w:rPr>
        <w:t xml:space="preserve"> und damit frisch geschaffenes Zentralbankgeld</w:t>
      </w:r>
      <w:r w:rsidR="00392B48">
        <w:rPr>
          <w:rFonts w:ascii="Times New Roman" w:hAnsi="Times New Roman" w:cs="Times New Roman"/>
          <w:i/>
          <w:iCs/>
          <w:vanish/>
          <w:color w:val="FF0000"/>
        </w:rPr>
        <w:t xml:space="preserve"> zu extrem günstigen Konditionen den Banken </w:t>
      </w:r>
      <w:r w:rsidR="00190951">
        <w:rPr>
          <w:rFonts w:ascii="Times New Roman" w:hAnsi="Times New Roman" w:cs="Times New Roman"/>
          <w:i/>
          <w:iCs/>
          <w:vanish/>
          <w:color w:val="FF0000"/>
        </w:rPr>
        <w:t>freigiebig gewährt</w:t>
      </w:r>
      <w:r w:rsidR="00392B48">
        <w:rPr>
          <w:rFonts w:ascii="Times New Roman" w:hAnsi="Times New Roman" w:cs="Times New Roman"/>
          <w:i/>
          <w:iCs/>
          <w:vanish/>
          <w:color w:val="FF0000"/>
        </w:rPr>
        <w:t>.</w:t>
      </w:r>
    </w:p>
    <w:p w14:paraId="33476D53" w14:textId="77777777" w:rsidR="00FC3B25" w:rsidRDefault="00E81651" w:rsidP="00FC3B25">
      <w:pPr>
        <w:pStyle w:val="Listenabsatz"/>
        <w:spacing w:after="60" w:line="276" w:lineRule="auto"/>
        <w:ind w:left="831"/>
        <w:jc w:val="both"/>
        <w:rPr>
          <w:rFonts w:ascii="Times New Roman" w:hAnsi="Times New Roman" w:cs="Times New Roman"/>
          <w:i/>
          <w:iCs/>
          <w:vanish/>
          <w:color w:val="FF0000"/>
        </w:rPr>
      </w:pPr>
      <w:r>
        <w:rPr>
          <w:rFonts w:ascii="Times New Roman" w:hAnsi="Times New Roman" w:cs="Times New Roman"/>
          <w:i/>
          <w:iCs/>
          <w:vanish/>
          <w:color w:val="FF0000"/>
        </w:rPr>
        <w:lastRenderedPageBreak/>
        <w:t>A</w:t>
      </w:r>
      <w:r w:rsidR="00190951">
        <w:rPr>
          <w:rFonts w:ascii="Times New Roman" w:hAnsi="Times New Roman" w:cs="Times New Roman"/>
          <w:i/>
          <w:iCs/>
          <w:vanish/>
          <w:color w:val="FF0000"/>
        </w:rPr>
        <w:t xml:space="preserve">ndererseits durch </w:t>
      </w:r>
      <w:r w:rsidR="00126392">
        <w:rPr>
          <w:rFonts w:ascii="Times New Roman" w:hAnsi="Times New Roman" w:cs="Times New Roman"/>
          <w:i/>
          <w:iCs/>
          <w:vanish/>
          <w:color w:val="FF0000"/>
        </w:rPr>
        <w:t xml:space="preserve">den Ankauf von Vermögenswerten von den Geschäftsbanken: auch hier werden </w:t>
      </w:r>
      <w:r w:rsidR="00FC3B25">
        <w:rPr>
          <w:rFonts w:ascii="Times New Roman" w:hAnsi="Times New Roman" w:cs="Times New Roman"/>
          <w:i/>
          <w:iCs/>
          <w:vanish/>
          <w:color w:val="FF0000"/>
        </w:rPr>
        <w:t xml:space="preserve">im </w:t>
      </w:r>
      <w:r w:rsidR="00126392">
        <w:rPr>
          <w:rFonts w:ascii="Times New Roman" w:hAnsi="Times New Roman" w:cs="Times New Roman"/>
          <w:i/>
          <w:iCs/>
          <w:vanish/>
          <w:color w:val="FF0000"/>
        </w:rPr>
        <w:t>Rahmen der</w:t>
      </w:r>
      <w:r w:rsidR="00190951">
        <w:rPr>
          <w:rFonts w:ascii="Times New Roman" w:hAnsi="Times New Roman" w:cs="Times New Roman"/>
          <w:i/>
          <w:iCs/>
          <w:vanish/>
          <w:color w:val="FF0000"/>
        </w:rPr>
        <w:t xml:space="preserve"> Wertpapierankaufprogramme der EZB in gigantischem Umfang vor allem Staatsanleihen von den Banken gegen </w:t>
      </w:r>
      <w:r w:rsidR="00126392">
        <w:rPr>
          <w:rFonts w:ascii="Times New Roman" w:hAnsi="Times New Roman" w:cs="Times New Roman"/>
          <w:i/>
          <w:iCs/>
          <w:vanish/>
          <w:color w:val="FF0000"/>
        </w:rPr>
        <w:t>neu geschaffenes Zentralbankgeld gekauft.</w:t>
      </w:r>
    </w:p>
    <w:p w14:paraId="06A1A970" w14:textId="0CFC2517" w:rsidR="00A73DF4" w:rsidRPr="00FC3B25" w:rsidRDefault="00126392" w:rsidP="00FC3B25">
      <w:pPr>
        <w:pStyle w:val="Listenabsatz"/>
        <w:spacing w:after="60" w:line="276" w:lineRule="auto"/>
        <w:ind w:left="831"/>
        <w:jc w:val="both"/>
        <w:rPr>
          <w:rFonts w:ascii="Times New Roman" w:hAnsi="Times New Roman" w:cs="Times New Roman"/>
          <w:i/>
          <w:iCs/>
          <w:vanish/>
          <w:color w:val="FF0000"/>
        </w:rPr>
      </w:pPr>
      <w:r w:rsidRPr="00FC3B25">
        <w:rPr>
          <w:rFonts w:ascii="Times New Roman" w:hAnsi="Times New Roman" w:cs="Times New Roman"/>
          <w:i/>
          <w:iCs/>
          <w:vanish/>
          <w:color w:val="FF0000"/>
        </w:rPr>
        <w:t>Insgesamt hat sich die Zentralbank</w:t>
      </w:r>
      <w:r w:rsidR="00FC3B25">
        <w:rPr>
          <w:rFonts w:ascii="Times New Roman" w:hAnsi="Times New Roman" w:cs="Times New Roman"/>
          <w:i/>
          <w:iCs/>
          <w:vanish/>
          <w:color w:val="FF0000"/>
        </w:rPr>
        <w:t>geldmenge im Euroraum in nur 13 </w:t>
      </w:r>
      <w:r w:rsidRPr="00FC3B25">
        <w:rPr>
          <w:rFonts w:ascii="Times New Roman" w:hAnsi="Times New Roman" w:cs="Times New Roman"/>
          <w:i/>
          <w:iCs/>
          <w:vanish/>
          <w:color w:val="FF0000"/>
        </w:rPr>
        <w:t>Jahren versiebenfacht und ist damit um ein Vielfaches im Vergleich zur Wirtschaftsleistung angestiegen</w:t>
      </w:r>
      <w:r w:rsidR="00D62634" w:rsidRPr="00FC3B25">
        <w:rPr>
          <w:rFonts w:ascii="Times New Roman" w:hAnsi="Times New Roman" w:cs="Times New Roman"/>
          <w:i/>
          <w:iCs/>
          <w:vanish/>
          <w:color w:val="FF0000"/>
        </w:rPr>
        <w:t>.</w:t>
      </w:r>
    </w:p>
    <w:p w14:paraId="1F0FCC47" w14:textId="77777777" w:rsidR="00FC3B25" w:rsidRDefault="003B0AE7" w:rsidP="007C3A73">
      <w:pPr>
        <w:pStyle w:val="Listenabsatz"/>
        <w:numPr>
          <w:ilvl w:val="0"/>
          <w:numId w:val="17"/>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Die zahlreichen und tiefgreifenden Auswirkungen </w:t>
      </w:r>
      <w:r w:rsidR="00FC3B25">
        <w:rPr>
          <w:rFonts w:ascii="Times New Roman" w:hAnsi="Times New Roman" w:cs="Times New Roman"/>
          <w:i/>
          <w:iCs/>
          <w:vanish/>
          <w:color w:val="FF0000"/>
        </w:rPr>
        <w:t>der umfangreichen Geldschöpf</w:t>
      </w:r>
      <w:r w:rsidR="00D62634">
        <w:rPr>
          <w:rFonts w:ascii="Times New Roman" w:hAnsi="Times New Roman" w:cs="Times New Roman"/>
          <w:i/>
          <w:iCs/>
          <w:vanish/>
          <w:color w:val="FF0000"/>
        </w:rPr>
        <w:t>ung</w:t>
      </w:r>
      <w:r>
        <w:rPr>
          <w:rFonts w:ascii="Times New Roman" w:hAnsi="Times New Roman" w:cs="Times New Roman"/>
          <w:i/>
          <w:iCs/>
          <w:vanish/>
          <w:color w:val="FF0000"/>
        </w:rPr>
        <w:t xml:space="preserve"> können mit folgenden Stichworten skizziert werden:</w:t>
      </w:r>
    </w:p>
    <w:p w14:paraId="39F26C5C" w14:textId="71F9A648" w:rsidR="00190951" w:rsidRPr="007C3A73" w:rsidRDefault="003B0AE7" w:rsidP="00FC3B25">
      <w:pPr>
        <w:pStyle w:val="Listenabsatz"/>
        <w:spacing w:after="60" w:line="276" w:lineRule="auto"/>
        <w:ind w:left="831"/>
        <w:jc w:val="both"/>
        <w:rPr>
          <w:rFonts w:ascii="Times New Roman" w:hAnsi="Times New Roman" w:cs="Times New Roman"/>
          <w:i/>
          <w:iCs/>
          <w:vanish/>
          <w:color w:val="FF0000"/>
        </w:rPr>
      </w:pPr>
      <w:r w:rsidRPr="007C3A73">
        <w:rPr>
          <w:rFonts w:ascii="Times New Roman" w:hAnsi="Times New Roman" w:cs="Times New Roman"/>
          <w:i/>
          <w:iCs/>
          <w:vanish/>
          <w:color w:val="FF0000"/>
        </w:rPr>
        <w:t>Vermögenspreisinflation, Zunahme der Vermögensungleichheit in der Bevölkerung, Be</w:t>
      </w:r>
      <w:r w:rsidR="00D62634" w:rsidRPr="007C3A73">
        <w:rPr>
          <w:rFonts w:ascii="Times New Roman" w:hAnsi="Times New Roman" w:cs="Times New Roman"/>
          <w:i/>
          <w:iCs/>
          <w:vanish/>
          <w:color w:val="FF0000"/>
        </w:rPr>
        <w:t>günstigung</w:t>
      </w:r>
      <w:r w:rsidRPr="007C3A73">
        <w:rPr>
          <w:rFonts w:ascii="Times New Roman" w:hAnsi="Times New Roman" w:cs="Times New Roman"/>
          <w:i/>
          <w:iCs/>
          <w:vanish/>
          <w:color w:val="FF0000"/>
        </w:rPr>
        <w:t xml:space="preserve"> der </w:t>
      </w:r>
      <w:r w:rsidRPr="00842CA9">
        <w:rPr>
          <w:rFonts w:ascii="Times New Roman" w:hAnsi="Times New Roman" w:cs="Times New Roman"/>
          <w:i/>
          <w:iCs/>
          <w:vanish/>
          <w:color w:val="FF0000"/>
        </w:rPr>
        <w:t>Schuldner</w:t>
      </w:r>
      <w:r w:rsidR="00D62634" w:rsidRPr="00842CA9">
        <w:rPr>
          <w:rFonts w:ascii="Times New Roman" w:hAnsi="Times New Roman" w:cs="Times New Roman"/>
          <w:i/>
          <w:iCs/>
          <w:vanish/>
          <w:color w:val="FF0000"/>
        </w:rPr>
        <w:t>,</w:t>
      </w:r>
      <w:r w:rsidRPr="007C3A73">
        <w:rPr>
          <w:rFonts w:ascii="Times New Roman" w:hAnsi="Times New Roman" w:cs="Times New Roman"/>
          <w:i/>
          <w:iCs/>
          <w:vanish/>
          <w:color w:val="FF0000"/>
        </w:rPr>
        <w:t xml:space="preserve"> weiterer Anstieg der Verschuldung, nachlassende wirtschaftliche Dynamik infolge einer Zombifizierung</w:t>
      </w:r>
      <w:r w:rsidR="00D62634" w:rsidRPr="007C3A73">
        <w:rPr>
          <w:rFonts w:ascii="Times New Roman" w:hAnsi="Times New Roman" w:cs="Times New Roman"/>
          <w:i/>
          <w:iCs/>
          <w:vanish/>
          <w:color w:val="FF0000"/>
        </w:rPr>
        <w:t xml:space="preserve"> der Wirtschaft</w:t>
      </w:r>
      <w:r w:rsidRPr="007C3A73">
        <w:rPr>
          <w:rFonts w:ascii="Times New Roman" w:hAnsi="Times New Roman" w:cs="Times New Roman"/>
          <w:i/>
          <w:iCs/>
          <w:vanish/>
          <w:color w:val="FF0000"/>
        </w:rPr>
        <w:t>, Stabilisierung des Schuldenturms durch die Politik der EZB</w:t>
      </w:r>
      <w:r w:rsidR="00ED52BA" w:rsidRPr="007C3A73">
        <w:rPr>
          <w:rFonts w:ascii="Times New Roman" w:hAnsi="Times New Roman" w:cs="Times New Roman"/>
          <w:i/>
          <w:iCs/>
          <w:vanish/>
          <w:color w:val="FF0000"/>
        </w:rPr>
        <w:t>, fiskalische Dominanz der Geldpolitik, Zunahme der Inflationsgefahren, Schwächung des Sparwillens und der Vorsorgebereitschaft in der Bevölkerung.</w:t>
      </w:r>
    </w:p>
    <w:p w14:paraId="01B9B785" w14:textId="77777777" w:rsidR="00ED52BA" w:rsidRDefault="00ED52BA" w:rsidP="0073050C">
      <w:pPr>
        <w:pStyle w:val="Listenabsatz"/>
        <w:spacing w:after="60" w:line="276" w:lineRule="auto"/>
        <w:ind w:left="831"/>
        <w:jc w:val="both"/>
        <w:rPr>
          <w:rFonts w:ascii="Times New Roman" w:hAnsi="Times New Roman" w:cs="Times New Roman"/>
          <w:i/>
          <w:iCs/>
          <w:vanish/>
          <w:color w:val="FF0000"/>
        </w:rPr>
      </w:pPr>
    </w:p>
    <w:p w14:paraId="68094E81" w14:textId="3366EE5F" w:rsidR="00ED52BA" w:rsidRDefault="00ED52BA" w:rsidP="0073050C">
      <w:p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Als konkretes Ergebnis im Hinblick auf die Ausgangssituation (Ärger und Empörung der </w:t>
      </w:r>
      <w:r w:rsidR="00FC3B25">
        <w:rPr>
          <w:rFonts w:ascii="Times New Roman" w:hAnsi="Times New Roman" w:cs="Times New Roman"/>
          <w:i/>
          <w:iCs/>
          <w:vanish/>
          <w:color w:val="FF0000"/>
        </w:rPr>
        <w:t xml:space="preserve">Kundinnen und </w:t>
      </w:r>
      <w:r>
        <w:rPr>
          <w:rFonts w:ascii="Times New Roman" w:hAnsi="Times New Roman" w:cs="Times New Roman"/>
          <w:i/>
          <w:iCs/>
          <w:vanish/>
          <w:color w:val="FF0000"/>
        </w:rPr>
        <w:t xml:space="preserve">Kunden über die Einführung von Negativzinsen) </w:t>
      </w:r>
      <w:r w:rsidR="003C7E57">
        <w:rPr>
          <w:rFonts w:ascii="Times New Roman" w:hAnsi="Times New Roman" w:cs="Times New Roman"/>
          <w:i/>
          <w:iCs/>
          <w:vanish/>
          <w:color w:val="FF0000"/>
        </w:rPr>
        <w:t>kann</w:t>
      </w:r>
      <w:r>
        <w:rPr>
          <w:rFonts w:ascii="Times New Roman" w:hAnsi="Times New Roman" w:cs="Times New Roman"/>
          <w:i/>
          <w:iCs/>
          <w:vanish/>
          <w:color w:val="FF0000"/>
        </w:rPr>
        <w:t xml:space="preserve"> in der Präsentation auf folgende Aspekte eingegangen werden:</w:t>
      </w:r>
    </w:p>
    <w:p w14:paraId="2162D1F7" w14:textId="58BDA1AD" w:rsidR="00ED52BA" w:rsidRDefault="00ED52BA" w:rsidP="0073050C">
      <w:pPr>
        <w:pStyle w:val="Listenabsatz"/>
        <w:numPr>
          <w:ilvl w:val="0"/>
          <w:numId w:val="18"/>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Die </w:t>
      </w:r>
      <w:r w:rsidR="00F8633B">
        <w:rPr>
          <w:rFonts w:ascii="Times New Roman" w:hAnsi="Times New Roman" w:cs="Times New Roman"/>
          <w:i/>
          <w:iCs/>
          <w:vanish/>
          <w:color w:val="FF0000"/>
        </w:rPr>
        <w:t>Geschäftsb</w:t>
      </w:r>
      <w:r>
        <w:rPr>
          <w:rFonts w:ascii="Times New Roman" w:hAnsi="Times New Roman" w:cs="Times New Roman"/>
          <w:i/>
          <w:iCs/>
          <w:vanish/>
          <w:color w:val="FF0000"/>
        </w:rPr>
        <w:t xml:space="preserve">anken sind </w:t>
      </w:r>
      <w:r w:rsidR="00BF6C7D">
        <w:rPr>
          <w:rFonts w:ascii="Times New Roman" w:hAnsi="Times New Roman" w:cs="Times New Roman"/>
          <w:i/>
          <w:iCs/>
          <w:vanish/>
          <w:color w:val="FF0000"/>
        </w:rPr>
        <w:t xml:space="preserve">ebenfalls negativ betroffen von der Entwicklung der Geldpolitik und der Finanzmärkte seit der Finanzkrise, insbesondere aufgrund des extrem gesunkenen Zinsniveaus, das die Zinsspanne als zentrale Ertragsquelle des Bankgeschäfts </w:t>
      </w:r>
      <w:r w:rsidR="00D62634">
        <w:rPr>
          <w:rFonts w:ascii="Times New Roman" w:hAnsi="Times New Roman" w:cs="Times New Roman"/>
          <w:i/>
          <w:iCs/>
          <w:vanish/>
          <w:color w:val="FF0000"/>
        </w:rPr>
        <w:t xml:space="preserve">deutlich </w:t>
      </w:r>
      <w:r w:rsidR="00BF6C7D">
        <w:rPr>
          <w:rFonts w:ascii="Times New Roman" w:hAnsi="Times New Roman" w:cs="Times New Roman"/>
          <w:i/>
          <w:iCs/>
          <w:vanish/>
          <w:color w:val="FF0000"/>
        </w:rPr>
        <w:t>verringert hat.</w:t>
      </w:r>
    </w:p>
    <w:p w14:paraId="53A0B871" w14:textId="255ED070" w:rsidR="00F8633B" w:rsidRDefault="00F8633B" w:rsidP="0073050C">
      <w:pPr>
        <w:pStyle w:val="Listenabsatz"/>
        <w:numPr>
          <w:ilvl w:val="0"/>
          <w:numId w:val="18"/>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Sie benötigen keine Kundeneinlagen, um Kredite vergeben zu können (Prozess der Giralgeldschöpfung).</w:t>
      </w:r>
    </w:p>
    <w:p w14:paraId="416F171A" w14:textId="1C017F81" w:rsidR="00F8633B" w:rsidRDefault="00F8633B" w:rsidP="0073050C">
      <w:pPr>
        <w:pStyle w:val="Listenabsatz"/>
        <w:numPr>
          <w:ilvl w:val="0"/>
          <w:numId w:val="18"/>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Wenn Geschäftsbanken eine Refinanzierung benötigen, können si</w:t>
      </w:r>
      <w:r w:rsidR="00FC3B25">
        <w:rPr>
          <w:rFonts w:ascii="Times New Roman" w:hAnsi="Times New Roman" w:cs="Times New Roman"/>
          <w:i/>
          <w:iCs/>
          <w:vanish/>
          <w:color w:val="FF0000"/>
        </w:rPr>
        <w:t>e diese z. </w:t>
      </w:r>
      <w:r>
        <w:rPr>
          <w:rFonts w:ascii="Times New Roman" w:hAnsi="Times New Roman" w:cs="Times New Roman"/>
          <w:i/>
          <w:iCs/>
          <w:vanish/>
          <w:color w:val="FF0000"/>
        </w:rPr>
        <w:t>B. von der EZB zu teilweise extrem ni</w:t>
      </w:r>
      <w:r w:rsidR="00FC3B25">
        <w:rPr>
          <w:rFonts w:ascii="Times New Roman" w:hAnsi="Times New Roman" w:cs="Times New Roman"/>
          <w:i/>
          <w:iCs/>
          <w:vanish/>
          <w:color w:val="FF0000"/>
        </w:rPr>
        <w:t>edrigen Zinssätzen (bis zu - 1 %</w:t>
      </w:r>
      <w:r>
        <w:rPr>
          <w:rFonts w:ascii="Times New Roman" w:hAnsi="Times New Roman" w:cs="Times New Roman"/>
          <w:i/>
          <w:iCs/>
          <w:vanish/>
          <w:color w:val="FF0000"/>
        </w:rPr>
        <w:t>) beziehen.</w:t>
      </w:r>
    </w:p>
    <w:p w14:paraId="545ACAB7" w14:textId="4F1AE9A7" w:rsidR="00BF6C7D" w:rsidRDefault="00BF6C7D" w:rsidP="0073050C">
      <w:pPr>
        <w:pStyle w:val="Listenabsatz"/>
        <w:numPr>
          <w:ilvl w:val="0"/>
          <w:numId w:val="18"/>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Kundeneinlagen sind für die Banken</w:t>
      </w:r>
      <w:r w:rsidR="00F8633B">
        <w:rPr>
          <w:rFonts w:ascii="Times New Roman" w:hAnsi="Times New Roman" w:cs="Times New Roman"/>
          <w:i/>
          <w:iCs/>
          <w:vanish/>
          <w:color w:val="FF0000"/>
        </w:rPr>
        <w:t xml:space="preserve"> eine deutlich teurere Refinanzierungsquelle, die zu einem erheblichen Kostenfaktor geworden ist, weil sie dieses </w:t>
      </w:r>
      <w:r w:rsidR="003C7E57">
        <w:rPr>
          <w:rFonts w:ascii="Times New Roman" w:hAnsi="Times New Roman" w:cs="Times New Roman"/>
          <w:i/>
          <w:iCs/>
          <w:vanish/>
          <w:color w:val="FF0000"/>
        </w:rPr>
        <w:t xml:space="preserve">nicht benötigte </w:t>
      </w:r>
      <w:r w:rsidR="00F8633B">
        <w:rPr>
          <w:rFonts w:ascii="Times New Roman" w:hAnsi="Times New Roman" w:cs="Times New Roman"/>
          <w:i/>
          <w:iCs/>
          <w:vanish/>
          <w:color w:val="FF0000"/>
        </w:rPr>
        <w:t>Geld zu Negativzinsen anlegen müssen.</w:t>
      </w:r>
    </w:p>
    <w:p w14:paraId="2ED43C44" w14:textId="5682928B" w:rsidR="00F8633B" w:rsidRDefault="00F8633B" w:rsidP="0073050C">
      <w:pPr>
        <w:pStyle w:val="Listenabsatz"/>
        <w:numPr>
          <w:ilvl w:val="0"/>
          <w:numId w:val="18"/>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Die entstehenden Kosten </w:t>
      </w:r>
      <w:r w:rsidR="003C7E57">
        <w:rPr>
          <w:rFonts w:ascii="Times New Roman" w:hAnsi="Times New Roman" w:cs="Times New Roman"/>
          <w:i/>
          <w:iCs/>
          <w:vanish/>
          <w:color w:val="FF0000"/>
        </w:rPr>
        <w:t xml:space="preserve">(zu zahlende Negativzinsen, Bearbeitungskosten) </w:t>
      </w:r>
      <w:r>
        <w:rPr>
          <w:rFonts w:ascii="Times New Roman" w:hAnsi="Times New Roman" w:cs="Times New Roman"/>
          <w:i/>
          <w:iCs/>
          <w:vanish/>
          <w:color w:val="FF0000"/>
        </w:rPr>
        <w:t>sollen durch die Berechnung eines Verwahrentgelts ausgeglichen werden.</w:t>
      </w:r>
    </w:p>
    <w:p w14:paraId="6A3CC765" w14:textId="5B78B7CC" w:rsidR="003C7E57" w:rsidRPr="00ED52BA" w:rsidRDefault="003C7E57" w:rsidP="0073050C">
      <w:pPr>
        <w:pStyle w:val="Listenabsatz"/>
        <w:numPr>
          <w:ilvl w:val="0"/>
          <w:numId w:val="18"/>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Mit dem Verwahrentgelt haben </w:t>
      </w:r>
      <w:r w:rsidR="00FC3B25">
        <w:rPr>
          <w:rFonts w:ascii="Times New Roman" w:hAnsi="Times New Roman" w:cs="Times New Roman"/>
          <w:i/>
          <w:iCs/>
          <w:vanish/>
          <w:color w:val="FF0000"/>
        </w:rPr>
        <w:t xml:space="preserve">Kundinnen und </w:t>
      </w:r>
      <w:r>
        <w:rPr>
          <w:rFonts w:ascii="Times New Roman" w:hAnsi="Times New Roman" w:cs="Times New Roman"/>
          <w:i/>
          <w:iCs/>
          <w:vanish/>
          <w:color w:val="FF0000"/>
        </w:rPr>
        <w:t xml:space="preserve">Kunden einen zusätzlichen Anreiz, sich für höher rentable Anlageformen zu entscheiden, denn auch bei einem Verzicht auf das Verwahrentgelt führt die </w:t>
      </w:r>
      <w:r w:rsidR="00FC626F">
        <w:rPr>
          <w:rFonts w:ascii="Times New Roman" w:hAnsi="Times New Roman" w:cs="Times New Roman"/>
          <w:i/>
          <w:iCs/>
          <w:vanish/>
          <w:color w:val="FF0000"/>
        </w:rPr>
        <w:t>Kundena</w:t>
      </w:r>
      <w:r>
        <w:rPr>
          <w:rFonts w:ascii="Times New Roman" w:hAnsi="Times New Roman" w:cs="Times New Roman"/>
          <w:i/>
          <w:iCs/>
          <w:vanish/>
          <w:color w:val="FF0000"/>
        </w:rPr>
        <w:t xml:space="preserve">nlage </w:t>
      </w:r>
      <w:r w:rsidR="00FC626F">
        <w:rPr>
          <w:rFonts w:ascii="Times New Roman" w:hAnsi="Times New Roman" w:cs="Times New Roman"/>
          <w:i/>
          <w:iCs/>
          <w:vanish/>
          <w:color w:val="FF0000"/>
        </w:rPr>
        <w:t>bei der Bank in Form von Einlagen mit einer Verzinsung von</w:t>
      </w:r>
      <w:r>
        <w:rPr>
          <w:rFonts w:ascii="Times New Roman" w:hAnsi="Times New Roman" w:cs="Times New Roman"/>
          <w:i/>
          <w:iCs/>
          <w:vanish/>
          <w:color w:val="FF0000"/>
        </w:rPr>
        <w:t xml:space="preserve"> 0</w:t>
      </w:r>
      <w:r w:rsidR="00FC3B25">
        <w:rPr>
          <w:rFonts w:ascii="Times New Roman" w:hAnsi="Times New Roman" w:cs="Times New Roman"/>
          <w:i/>
          <w:iCs/>
          <w:vanish/>
          <w:color w:val="FF0000"/>
        </w:rPr>
        <w:t> %</w:t>
      </w:r>
      <w:r>
        <w:rPr>
          <w:rFonts w:ascii="Times New Roman" w:hAnsi="Times New Roman" w:cs="Times New Roman"/>
          <w:i/>
          <w:iCs/>
          <w:vanish/>
          <w:color w:val="FF0000"/>
        </w:rPr>
        <w:t xml:space="preserve"> bei entsprechender Inflation zu einer deutlich negativen Realverzinsung</w:t>
      </w:r>
      <w:r w:rsidR="00E324AB">
        <w:rPr>
          <w:rFonts w:ascii="Times New Roman" w:hAnsi="Times New Roman" w:cs="Times New Roman"/>
          <w:i/>
          <w:iCs/>
          <w:vanish/>
          <w:color w:val="FF0000"/>
        </w:rPr>
        <w:t>.</w:t>
      </w:r>
    </w:p>
    <w:p w14:paraId="0CD49BDC" w14:textId="002E288F" w:rsidR="000E643A" w:rsidRDefault="000E643A" w:rsidP="0073050C">
      <w:pPr>
        <w:spacing w:after="60" w:line="276" w:lineRule="auto"/>
        <w:jc w:val="both"/>
        <w:rPr>
          <w:rFonts w:ascii="Times New Roman" w:hAnsi="Times New Roman" w:cs="Times New Roman"/>
          <w:i/>
          <w:iCs/>
          <w:vanish/>
          <w:color w:val="FF0000"/>
        </w:rPr>
      </w:pPr>
    </w:p>
    <w:p w14:paraId="7505F50D" w14:textId="35312D9E" w:rsidR="006B3979" w:rsidRPr="00764B48" w:rsidRDefault="006B3979" w:rsidP="00BF6FB0">
      <w:pPr>
        <w:pStyle w:val="Listenabsatz"/>
        <w:numPr>
          <w:ilvl w:val="0"/>
          <w:numId w:val="22"/>
        </w:numPr>
        <w:spacing w:after="60" w:line="276" w:lineRule="auto"/>
        <w:ind w:left="419" w:hanging="357"/>
        <w:rPr>
          <w:rStyle w:val="Fett"/>
          <w:rFonts w:eastAsia="Times New Roman" w:cs="Times New Roman"/>
          <w:b w:val="0"/>
          <w:bCs w:val="0"/>
          <w:szCs w:val="20"/>
          <w:lang w:eastAsia="de-DE"/>
        </w:rPr>
      </w:pPr>
      <w:bookmarkStart w:id="1" w:name="_Hlk58322362"/>
      <w:r w:rsidRPr="00764B48">
        <w:rPr>
          <w:rStyle w:val="Fett"/>
          <w:b w:val="0"/>
          <w:bCs w:val="0"/>
        </w:rPr>
        <w:t>Entwerfen Sie eine Anlagestrategie, die der Entwicklung und den Auswirkungen der Geldschöpfung im Euroraum Rechnung trägt.</w:t>
      </w:r>
    </w:p>
    <w:p w14:paraId="20FC4FD4" w14:textId="2688EAD7" w:rsidR="006B3979" w:rsidRDefault="006B3979" w:rsidP="00524DFD">
      <w:pPr>
        <w:rPr>
          <w:rStyle w:val="Fett"/>
          <w:b w:val="0"/>
          <w:bCs w:val="0"/>
        </w:rPr>
      </w:pPr>
    </w:p>
    <w:p w14:paraId="241383BA" w14:textId="29BF5824" w:rsidR="00524DFD" w:rsidRPr="00383366" w:rsidRDefault="00524DFD" w:rsidP="00524DFD">
      <w:pPr>
        <w:pStyle w:val="TextkrperGrauhinterlegt"/>
        <w:shd w:val="clear" w:color="auto" w:fill="F2F2F2" w:themeFill="background1" w:themeFillShade="F2"/>
        <w:rPr>
          <w:rFonts w:ascii="Times New Roman" w:hAnsi="Times New Roman"/>
          <w:b/>
          <w:i/>
          <w:vanish/>
          <w:color w:val="FF0000"/>
        </w:rPr>
      </w:pPr>
      <w:r w:rsidRPr="00383366">
        <w:rPr>
          <w:rFonts w:ascii="Times New Roman" w:hAnsi="Times New Roman"/>
          <w:b/>
          <w:i/>
          <w:vanish/>
          <w:color w:val="FF0000"/>
        </w:rPr>
        <w:t>Lösungshinweis</w:t>
      </w:r>
      <w:r w:rsidR="00FB0451">
        <w:rPr>
          <w:rFonts w:ascii="Times New Roman" w:hAnsi="Times New Roman"/>
          <w:b/>
          <w:i/>
          <w:vanish/>
          <w:color w:val="FF0000"/>
        </w:rPr>
        <w:t>e</w:t>
      </w:r>
    </w:p>
    <w:p w14:paraId="07DFC9E9" w14:textId="7C88C4C8" w:rsidR="00E324AB" w:rsidRDefault="00E324AB" w:rsidP="007C3A73">
      <w:pPr>
        <w:spacing w:after="60" w:line="276" w:lineRule="auto"/>
        <w:jc w:val="both"/>
        <w:rPr>
          <w:rFonts w:ascii="Times New Roman" w:hAnsi="Times New Roman" w:cs="Times New Roman"/>
          <w:i/>
          <w:iCs/>
          <w:vanish/>
          <w:color w:val="FF0000"/>
        </w:rPr>
      </w:pPr>
      <w:r w:rsidRPr="00842CA9">
        <w:rPr>
          <w:rFonts w:ascii="Times New Roman" w:hAnsi="Times New Roman" w:cs="Times New Roman"/>
          <w:i/>
          <w:iCs/>
          <w:vanish/>
          <w:color w:val="FF0000"/>
        </w:rPr>
        <w:t>Dieser Auftrag kann auch im Rahmen einer Binnendifferenzierung als Zusatzauftrag für leistungsstärkere Gruppen vergeben werden.</w:t>
      </w:r>
    </w:p>
    <w:p w14:paraId="6930D656" w14:textId="77777777" w:rsidR="00E324AB" w:rsidRDefault="00E324AB" w:rsidP="007C3A73">
      <w:pPr>
        <w:spacing w:after="60" w:line="276" w:lineRule="auto"/>
        <w:jc w:val="both"/>
        <w:rPr>
          <w:rFonts w:ascii="Times New Roman" w:hAnsi="Times New Roman" w:cs="Times New Roman"/>
          <w:i/>
          <w:iCs/>
          <w:vanish/>
          <w:color w:val="FF0000"/>
        </w:rPr>
      </w:pPr>
    </w:p>
    <w:p w14:paraId="4D1D2EE3" w14:textId="732D4124" w:rsidR="00766638" w:rsidRDefault="0002431A" w:rsidP="007C3A73">
      <w:p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Die Geldschöpfung im Euroraum ist insbesondere durch Kreditvergabe und damit einem starken Anstieg der Verschuldung entstanden. Damit können Gefahren für die Schuldentragfähigkeit und damit die Sicherheit der Kreditrückzahlung am Laufzeitende </w:t>
      </w:r>
      <w:r w:rsidR="00766638">
        <w:rPr>
          <w:rFonts w:ascii="Times New Roman" w:hAnsi="Times New Roman" w:cs="Times New Roman"/>
          <w:i/>
          <w:iCs/>
          <w:vanish/>
          <w:color w:val="FF0000"/>
        </w:rPr>
        <w:t xml:space="preserve">ansteigen. Außerdem sind die Marktzinssätze und damit die Rendite für die </w:t>
      </w:r>
      <w:r w:rsidR="00766638" w:rsidRPr="00842CA9">
        <w:rPr>
          <w:rFonts w:ascii="Times New Roman" w:hAnsi="Times New Roman" w:cs="Times New Roman"/>
          <w:i/>
          <w:iCs/>
          <w:vanish/>
          <w:color w:val="FF0000"/>
        </w:rPr>
        <w:t>Gläubiger</w:t>
      </w:r>
      <w:r w:rsidR="00766638">
        <w:rPr>
          <w:rFonts w:ascii="Times New Roman" w:hAnsi="Times New Roman" w:cs="Times New Roman"/>
          <w:i/>
          <w:iCs/>
          <w:vanish/>
          <w:color w:val="FF0000"/>
        </w:rPr>
        <w:t xml:space="preserve"> anhaltend niedrig.</w:t>
      </w:r>
      <w:r>
        <w:rPr>
          <w:rFonts w:ascii="Times New Roman" w:hAnsi="Times New Roman" w:cs="Times New Roman"/>
          <w:i/>
          <w:iCs/>
          <w:vanish/>
          <w:color w:val="FF0000"/>
        </w:rPr>
        <w:t xml:space="preserve"> Es ist deshalb sinnvoll, bei der Erstellung einer Anlagestrategie auf Gläubigerpapiere </w:t>
      </w:r>
      <w:r w:rsidR="00E324AB">
        <w:rPr>
          <w:rFonts w:ascii="Times New Roman" w:hAnsi="Times New Roman" w:cs="Times New Roman"/>
          <w:i/>
          <w:iCs/>
          <w:vanish/>
          <w:color w:val="FF0000"/>
        </w:rPr>
        <w:t xml:space="preserve">weitgehend </w:t>
      </w:r>
      <w:r>
        <w:rPr>
          <w:rFonts w:ascii="Times New Roman" w:hAnsi="Times New Roman" w:cs="Times New Roman"/>
          <w:i/>
          <w:iCs/>
          <w:vanish/>
          <w:color w:val="FF0000"/>
        </w:rPr>
        <w:t>zu verzichten.</w:t>
      </w:r>
    </w:p>
    <w:p w14:paraId="59B5BD36" w14:textId="77777777" w:rsidR="00766638" w:rsidRDefault="00766638" w:rsidP="007C3A73">
      <w:pPr>
        <w:spacing w:after="60" w:line="276" w:lineRule="auto"/>
        <w:jc w:val="both"/>
        <w:rPr>
          <w:rFonts w:ascii="Times New Roman" w:hAnsi="Times New Roman" w:cs="Times New Roman"/>
          <w:i/>
          <w:iCs/>
          <w:vanish/>
          <w:color w:val="FF0000"/>
        </w:rPr>
      </w:pPr>
    </w:p>
    <w:p w14:paraId="1BB13A4F" w14:textId="76C5FC1D" w:rsidR="00524DFD" w:rsidRDefault="00766638" w:rsidP="007C3A73">
      <w:p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Stattdessen bieten sich für eine Anlagestrategie, die der Geldschöpfung im Euroraum Rechnung trägt, breit diversifizierte Anlageformen im Bereich der Beteiligungspapiere sowie der Sachwerte an. Im Sinne der Risikostreuung können verschiedene Anlageklassen (Aktien, Immobilien, Edelmetalle, Rohstoffe, digitale Vermögensgüter, Private Equity, u.</w:t>
      </w:r>
      <w:r w:rsidR="00143388">
        <w:rPr>
          <w:rFonts w:ascii="Times New Roman" w:hAnsi="Times New Roman" w:cs="Times New Roman"/>
          <w:i/>
          <w:iCs/>
          <w:vanish/>
          <w:color w:val="FF0000"/>
        </w:rPr>
        <w:t> </w:t>
      </w:r>
      <w:r>
        <w:rPr>
          <w:rFonts w:ascii="Times New Roman" w:hAnsi="Times New Roman" w:cs="Times New Roman"/>
          <w:i/>
          <w:iCs/>
          <w:vanish/>
          <w:color w:val="FF0000"/>
        </w:rPr>
        <w:t>a.), verschiedene Branchen und verschiedene Länder bzw. Regionen gemischt werden</w:t>
      </w:r>
      <w:r w:rsidR="00143388">
        <w:rPr>
          <w:rFonts w:ascii="Times New Roman" w:hAnsi="Times New Roman" w:cs="Times New Roman"/>
          <w:i/>
          <w:iCs/>
          <w:vanish/>
          <w:color w:val="FF0000"/>
        </w:rPr>
        <w:t>.</w:t>
      </w:r>
    </w:p>
    <w:p w14:paraId="590FAC45" w14:textId="4950BE4A" w:rsidR="00D368DB" w:rsidRDefault="00D368DB" w:rsidP="007C3A73">
      <w:pPr>
        <w:spacing w:after="60" w:line="276" w:lineRule="auto"/>
        <w:jc w:val="both"/>
        <w:rPr>
          <w:rFonts w:ascii="Times New Roman" w:hAnsi="Times New Roman" w:cs="Times New Roman"/>
          <w:i/>
          <w:iCs/>
          <w:vanish/>
          <w:color w:val="FF0000"/>
        </w:rPr>
      </w:pPr>
    </w:p>
    <w:p w14:paraId="39A0F3F3" w14:textId="720F6EA0" w:rsidR="00D368DB" w:rsidRDefault="00D368DB" w:rsidP="007C3A73">
      <w:p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Dabei sollte auf die Kosten der Geldanlage geac</w:t>
      </w:r>
      <w:r w:rsidR="00143388">
        <w:rPr>
          <w:rFonts w:ascii="Times New Roman" w:hAnsi="Times New Roman" w:cs="Times New Roman"/>
          <w:i/>
          <w:iCs/>
          <w:vanish/>
          <w:color w:val="FF0000"/>
        </w:rPr>
        <w:t>htet werden, da hohe Kosten (z. </w:t>
      </w:r>
      <w:r>
        <w:rPr>
          <w:rFonts w:ascii="Times New Roman" w:hAnsi="Times New Roman" w:cs="Times New Roman"/>
          <w:i/>
          <w:iCs/>
          <w:vanish/>
          <w:color w:val="FF0000"/>
        </w:rPr>
        <w:t>B. für aktiv gemanagte Wertpapierfonds) die Rendite erheblich beeinträchtigen können. Empfehlenswert sind unter diesem Aspekt passive Anlagestrategien wie etwa ETFs, die nur geringe Kosten verursachen.</w:t>
      </w:r>
    </w:p>
    <w:p w14:paraId="22409A1E" w14:textId="530A5462" w:rsidR="0035130B" w:rsidRDefault="0035130B" w:rsidP="007C3A73">
      <w:pPr>
        <w:spacing w:after="60" w:line="276" w:lineRule="auto"/>
        <w:jc w:val="both"/>
        <w:rPr>
          <w:rFonts w:ascii="Times New Roman" w:hAnsi="Times New Roman" w:cs="Times New Roman"/>
          <w:i/>
          <w:iCs/>
          <w:vanish/>
          <w:color w:val="FF0000"/>
        </w:rPr>
      </w:pPr>
    </w:p>
    <w:p w14:paraId="77C0AE30" w14:textId="226D50C6" w:rsidR="00EF0F62" w:rsidRPr="00025EDC" w:rsidRDefault="00D368DB" w:rsidP="00143388">
      <w:pPr>
        <w:spacing w:after="60" w:line="276" w:lineRule="auto"/>
        <w:jc w:val="both"/>
        <w:rPr>
          <w:rStyle w:val="Fett"/>
          <w:rFonts w:ascii="Times New Roman" w:hAnsi="Times New Roman" w:cs="Times New Roman"/>
          <w:b w:val="0"/>
          <w:bCs w:val="0"/>
          <w:i/>
          <w:iCs/>
          <w:color w:val="FF0000"/>
        </w:rPr>
      </w:pPr>
      <w:r>
        <w:rPr>
          <w:rFonts w:ascii="Times New Roman" w:hAnsi="Times New Roman" w:cs="Times New Roman"/>
          <w:i/>
          <w:iCs/>
          <w:vanish/>
          <w:color w:val="FF0000"/>
        </w:rPr>
        <w:t>Aktuelle Entwicklungen sind bei der Erstellung der Anlagestrategie zu beachten.</w:t>
      </w:r>
      <w:r w:rsidR="00EF0F62" w:rsidRPr="00524DFD">
        <w:rPr>
          <w:rStyle w:val="Fett"/>
          <w:b w:val="0"/>
          <w:bCs w:val="0"/>
        </w:rPr>
        <w:br w:type="page"/>
      </w:r>
    </w:p>
    <w:p w14:paraId="059506B3" w14:textId="1677651E" w:rsidR="00EF0F62" w:rsidRDefault="004442BB" w:rsidP="007C3A73">
      <w:pPr>
        <w:pStyle w:val="TextkrperGrauhinterlegt"/>
      </w:pPr>
      <w:r w:rsidRPr="00E03288">
        <w:rPr>
          <w:rStyle w:val="Fett"/>
        </w:rPr>
        <w:lastRenderedPageBreak/>
        <w:t>Datenkranz</w:t>
      </w:r>
      <w:bookmarkEnd w:id="1"/>
    </w:p>
    <w:tbl>
      <w:tblPr>
        <w:tblW w:w="9639" w:type="dxa"/>
        <w:tblInd w:w="-5" w:type="dxa"/>
        <w:tblBorders>
          <w:top w:val="single" w:sz="4" w:space="0" w:color="auto"/>
          <w:left w:val="single" w:sz="4" w:space="0" w:color="auto"/>
          <w:bottom w:val="single" w:sz="4" w:space="0" w:color="auto"/>
          <w:right w:val="single" w:sz="4" w:space="0" w:color="auto"/>
        </w:tblBorders>
        <w:shd w:val="clear" w:color="auto" w:fill="DBE5F1"/>
        <w:tblLayout w:type="fixed"/>
        <w:tblCellMar>
          <w:top w:w="85" w:type="dxa"/>
          <w:bottom w:w="85" w:type="dxa"/>
        </w:tblCellMar>
        <w:tblLook w:val="04A0" w:firstRow="1" w:lastRow="0" w:firstColumn="1" w:lastColumn="0" w:noHBand="0" w:noVBand="1"/>
      </w:tblPr>
      <w:tblGrid>
        <w:gridCol w:w="1156"/>
        <w:gridCol w:w="1275"/>
        <w:gridCol w:w="7208"/>
      </w:tblGrid>
      <w:tr w:rsidR="005A298C" w14:paraId="60640492" w14:textId="77777777" w:rsidTr="00D61CDA">
        <w:trPr>
          <w:trHeight w:val="530"/>
        </w:trPr>
        <w:tc>
          <w:tcPr>
            <w:tcW w:w="2431" w:type="dxa"/>
            <w:gridSpan w:val="2"/>
            <w:shd w:val="clear" w:color="auto" w:fill="DEEAF6" w:themeFill="accent1" w:themeFillTint="33"/>
            <w:vAlign w:val="center"/>
          </w:tcPr>
          <w:p w14:paraId="2C9D6741" w14:textId="77777777" w:rsidR="005A298C" w:rsidRDefault="005A298C" w:rsidP="00D61CDA">
            <w:pPr>
              <w:tabs>
                <w:tab w:val="center" w:pos="1026"/>
              </w:tabs>
              <w:spacing w:before="240" w:after="0" w:line="240" w:lineRule="auto"/>
              <w:rPr>
                <w:rFonts w:eastAsia="Calibri" w:cs="Arial"/>
                <w:b/>
                <w:sz w:val="20"/>
              </w:rPr>
            </w:pPr>
            <w:r>
              <w:rPr>
                <w:rFonts w:eastAsia="Calibri" w:cs="Arial"/>
                <w:b/>
                <w:color w:val="984806"/>
              </w:rPr>
              <w:t>Intranet-Mitteilung</w:t>
            </w:r>
          </w:p>
        </w:tc>
        <w:tc>
          <w:tcPr>
            <w:tcW w:w="7208" w:type="dxa"/>
            <w:shd w:val="clear" w:color="auto" w:fill="DEEAF6" w:themeFill="accent1" w:themeFillTint="33"/>
            <w:vAlign w:val="center"/>
          </w:tcPr>
          <w:p w14:paraId="2D8EF544" w14:textId="77777777" w:rsidR="005A298C" w:rsidRPr="00057290" w:rsidRDefault="005A298C" w:rsidP="00D61CDA">
            <w:pPr>
              <w:spacing w:before="280" w:after="0" w:line="240" w:lineRule="auto"/>
              <w:rPr>
                <w:rFonts w:eastAsia="Calibri" w:cs="Arial"/>
                <w:b/>
                <w:color w:val="215868"/>
              </w:rPr>
            </w:pPr>
            <w:r w:rsidRPr="00747E7A">
              <w:rPr>
                <w:noProof/>
                <w:lang w:eastAsia="de-DE"/>
              </w:rPr>
              <w:drawing>
                <wp:anchor distT="0" distB="0" distL="114300" distR="114300" simplePos="0" relativeHeight="251682816" behindDoc="0" locked="0" layoutInCell="1" allowOverlap="1" wp14:anchorId="73A26FB0" wp14:editId="39A3A295">
                  <wp:simplePos x="0" y="0"/>
                  <wp:positionH relativeFrom="column">
                    <wp:posOffset>3566795</wp:posOffset>
                  </wp:positionH>
                  <wp:positionV relativeFrom="paragraph">
                    <wp:posOffset>-19050</wp:posOffset>
                  </wp:positionV>
                  <wp:extent cx="840105" cy="407670"/>
                  <wp:effectExtent l="0" t="0" r="127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0105" cy="40767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Arial"/>
                <w:b/>
                <w:color w:val="215868"/>
              </w:rPr>
              <w:t>Einführung eines Verwahrentgeltes</w:t>
            </w:r>
          </w:p>
        </w:tc>
      </w:tr>
      <w:tr w:rsidR="005A298C" w14:paraId="20335716" w14:textId="77777777" w:rsidTr="00D61CDA">
        <w:trPr>
          <w:trHeight w:val="776"/>
        </w:trPr>
        <w:tc>
          <w:tcPr>
            <w:tcW w:w="9639" w:type="dxa"/>
            <w:gridSpan w:val="3"/>
            <w:shd w:val="clear" w:color="auto" w:fill="DEEAF6" w:themeFill="accent1" w:themeFillTint="33"/>
          </w:tcPr>
          <w:tbl>
            <w:tblPr>
              <w:tblStyle w:val="Tabellenraster"/>
              <w:tblW w:w="9390" w:type="dxa"/>
              <w:tblLayout w:type="fixed"/>
              <w:tblLook w:val="04A0" w:firstRow="1" w:lastRow="0" w:firstColumn="1" w:lastColumn="0" w:noHBand="0" w:noVBand="1"/>
            </w:tblPr>
            <w:tblGrid>
              <w:gridCol w:w="1310"/>
              <w:gridCol w:w="152"/>
              <w:gridCol w:w="84"/>
              <w:gridCol w:w="1606"/>
              <w:gridCol w:w="236"/>
              <w:gridCol w:w="435"/>
              <w:gridCol w:w="1145"/>
              <w:gridCol w:w="236"/>
              <w:gridCol w:w="36"/>
              <w:gridCol w:w="1882"/>
              <w:gridCol w:w="326"/>
              <w:gridCol w:w="240"/>
              <w:gridCol w:w="1702"/>
            </w:tblGrid>
            <w:tr w:rsidR="005A298C" w14:paraId="658332F5" w14:textId="77777777" w:rsidTr="00D61CDA">
              <w:tc>
                <w:tcPr>
                  <w:tcW w:w="1462" w:type="dxa"/>
                  <w:gridSpan w:val="2"/>
                  <w:tcBorders>
                    <w:top w:val="nil"/>
                    <w:left w:val="nil"/>
                    <w:bottom w:val="nil"/>
                    <w:right w:val="nil"/>
                  </w:tcBorders>
                </w:tcPr>
                <w:p w14:paraId="78105131" w14:textId="77777777" w:rsidR="005A298C" w:rsidRPr="00477CD2" w:rsidRDefault="005A298C" w:rsidP="00D61CDA">
                  <w:pPr>
                    <w:spacing w:before="60" w:after="60"/>
                    <w:ind w:right="-96"/>
                    <w:jc w:val="center"/>
                    <w:rPr>
                      <w:rFonts w:eastAsia="Calibri" w:cs="Arial"/>
                      <w:b/>
                      <w:bCs/>
                      <w:sz w:val="16"/>
                      <w:szCs w:val="16"/>
                    </w:rPr>
                  </w:pPr>
                </w:p>
              </w:tc>
              <w:tc>
                <w:tcPr>
                  <w:tcW w:w="2361" w:type="dxa"/>
                  <w:gridSpan w:val="4"/>
                  <w:tcBorders>
                    <w:top w:val="nil"/>
                    <w:left w:val="nil"/>
                    <w:bottom w:val="nil"/>
                    <w:right w:val="nil"/>
                  </w:tcBorders>
                </w:tcPr>
                <w:p w14:paraId="2507C42E" w14:textId="77777777" w:rsidR="005A298C" w:rsidRPr="00477CD2" w:rsidRDefault="005A298C" w:rsidP="00D61CDA">
                  <w:pPr>
                    <w:spacing w:before="60" w:after="60"/>
                    <w:ind w:right="-96"/>
                    <w:jc w:val="center"/>
                    <w:rPr>
                      <w:rFonts w:eastAsia="Calibri" w:cs="Arial"/>
                      <w:b/>
                      <w:bCs/>
                      <w:sz w:val="16"/>
                      <w:szCs w:val="16"/>
                    </w:rPr>
                  </w:pPr>
                </w:p>
              </w:tc>
              <w:tc>
                <w:tcPr>
                  <w:tcW w:w="1417" w:type="dxa"/>
                  <w:gridSpan w:val="3"/>
                  <w:tcBorders>
                    <w:top w:val="nil"/>
                    <w:left w:val="nil"/>
                    <w:bottom w:val="nil"/>
                    <w:right w:val="nil"/>
                  </w:tcBorders>
                </w:tcPr>
                <w:p w14:paraId="35FDEA75" w14:textId="77777777" w:rsidR="005A298C" w:rsidRPr="00477CD2" w:rsidRDefault="005A298C" w:rsidP="00D61CDA">
                  <w:pPr>
                    <w:spacing w:before="60" w:after="60"/>
                    <w:ind w:right="-96"/>
                    <w:jc w:val="center"/>
                    <w:rPr>
                      <w:rFonts w:eastAsia="Calibri" w:cs="Arial"/>
                      <w:b/>
                      <w:bCs/>
                      <w:sz w:val="16"/>
                      <w:szCs w:val="16"/>
                    </w:rPr>
                  </w:pPr>
                </w:p>
              </w:tc>
              <w:tc>
                <w:tcPr>
                  <w:tcW w:w="1882" w:type="dxa"/>
                  <w:tcBorders>
                    <w:top w:val="nil"/>
                    <w:left w:val="nil"/>
                    <w:bottom w:val="nil"/>
                    <w:right w:val="nil"/>
                  </w:tcBorders>
                </w:tcPr>
                <w:p w14:paraId="69186ADC" w14:textId="77777777" w:rsidR="005A298C" w:rsidRPr="00477CD2" w:rsidRDefault="005A298C" w:rsidP="00D61CDA">
                  <w:pPr>
                    <w:spacing w:before="60" w:after="60"/>
                    <w:ind w:right="-96"/>
                    <w:jc w:val="center"/>
                    <w:rPr>
                      <w:rFonts w:eastAsia="Calibri" w:cs="Arial"/>
                      <w:b/>
                      <w:bCs/>
                      <w:sz w:val="16"/>
                      <w:szCs w:val="16"/>
                    </w:rPr>
                  </w:pPr>
                </w:p>
              </w:tc>
              <w:tc>
                <w:tcPr>
                  <w:tcW w:w="566" w:type="dxa"/>
                  <w:gridSpan w:val="2"/>
                  <w:tcBorders>
                    <w:top w:val="nil"/>
                    <w:left w:val="nil"/>
                    <w:bottom w:val="nil"/>
                    <w:right w:val="single" w:sz="4" w:space="0" w:color="auto"/>
                  </w:tcBorders>
                </w:tcPr>
                <w:p w14:paraId="68C86A63" w14:textId="77777777" w:rsidR="005A298C" w:rsidRPr="00477CD2" w:rsidRDefault="005A298C" w:rsidP="00D61CDA">
                  <w:pPr>
                    <w:spacing w:before="60" w:after="60"/>
                    <w:ind w:right="-96"/>
                    <w:jc w:val="center"/>
                    <w:rPr>
                      <w:rFonts w:eastAsia="Calibri" w:cs="Arial"/>
                      <w:b/>
                      <w:bCs/>
                      <w:sz w:val="16"/>
                      <w:szCs w:val="16"/>
                    </w:rPr>
                  </w:pPr>
                </w:p>
              </w:tc>
              <w:tc>
                <w:tcPr>
                  <w:tcW w:w="1702" w:type="dxa"/>
                  <w:tcBorders>
                    <w:left w:val="single" w:sz="4" w:space="0" w:color="auto"/>
                    <w:bottom w:val="single" w:sz="4" w:space="0" w:color="auto"/>
                  </w:tcBorders>
                  <w:shd w:val="clear" w:color="auto" w:fill="BFBFBF" w:themeFill="background1" w:themeFillShade="BF"/>
                </w:tcPr>
                <w:p w14:paraId="6BA64A74" w14:textId="77777777" w:rsidR="005A298C" w:rsidRPr="00477CD2" w:rsidRDefault="005A298C" w:rsidP="00D61CDA">
                  <w:pPr>
                    <w:spacing w:before="60" w:after="60"/>
                    <w:jc w:val="center"/>
                    <w:rPr>
                      <w:rFonts w:eastAsia="Calibri" w:cs="Arial"/>
                      <w:b/>
                      <w:bCs/>
                      <w:sz w:val="16"/>
                      <w:szCs w:val="16"/>
                    </w:rPr>
                  </w:pPr>
                  <w:r w:rsidRPr="00477CD2">
                    <w:rPr>
                      <w:rFonts w:eastAsia="Calibri" w:cs="Arial"/>
                      <w:b/>
                      <w:bCs/>
                      <w:sz w:val="16"/>
                      <w:szCs w:val="16"/>
                    </w:rPr>
                    <w:t>Schließen</w:t>
                  </w:r>
                </w:p>
              </w:tc>
            </w:tr>
            <w:tr w:rsidR="005A298C" w14:paraId="49121791" w14:textId="77777777" w:rsidTr="00D61CDA">
              <w:trPr>
                <w:trHeight w:val="133"/>
              </w:trPr>
              <w:tc>
                <w:tcPr>
                  <w:tcW w:w="1310" w:type="dxa"/>
                  <w:tcBorders>
                    <w:top w:val="nil"/>
                    <w:left w:val="nil"/>
                    <w:bottom w:val="single" w:sz="4" w:space="0" w:color="auto"/>
                    <w:right w:val="nil"/>
                  </w:tcBorders>
                  <w:shd w:val="clear" w:color="auto" w:fill="auto"/>
                </w:tcPr>
                <w:p w14:paraId="7546D3B7" w14:textId="77777777" w:rsidR="005A298C" w:rsidRPr="00E600CF" w:rsidRDefault="005A298C" w:rsidP="00D61CDA">
                  <w:pPr>
                    <w:ind w:right="-96"/>
                    <w:jc w:val="center"/>
                    <w:rPr>
                      <w:rFonts w:eastAsia="Calibri" w:cs="Arial"/>
                      <w:b/>
                      <w:bCs/>
                      <w:sz w:val="4"/>
                      <w:szCs w:val="4"/>
                    </w:rPr>
                  </w:pPr>
                </w:p>
              </w:tc>
              <w:tc>
                <w:tcPr>
                  <w:tcW w:w="236" w:type="dxa"/>
                  <w:gridSpan w:val="2"/>
                  <w:tcBorders>
                    <w:top w:val="nil"/>
                    <w:left w:val="nil"/>
                    <w:bottom w:val="nil"/>
                    <w:right w:val="nil"/>
                  </w:tcBorders>
                </w:tcPr>
                <w:p w14:paraId="39351735" w14:textId="77777777" w:rsidR="005A298C" w:rsidRPr="00E600CF" w:rsidRDefault="005A298C" w:rsidP="00D61CDA">
                  <w:pPr>
                    <w:ind w:right="-96"/>
                    <w:jc w:val="center"/>
                    <w:rPr>
                      <w:rFonts w:eastAsia="Calibri" w:cs="Arial"/>
                      <w:b/>
                      <w:bCs/>
                      <w:sz w:val="4"/>
                      <w:szCs w:val="4"/>
                    </w:rPr>
                  </w:pPr>
                </w:p>
              </w:tc>
              <w:tc>
                <w:tcPr>
                  <w:tcW w:w="1606" w:type="dxa"/>
                  <w:tcBorders>
                    <w:top w:val="nil"/>
                    <w:left w:val="nil"/>
                    <w:bottom w:val="single" w:sz="4" w:space="0" w:color="auto"/>
                    <w:right w:val="nil"/>
                  </w:tcBorders>
                  <w:shd w:val="clear" w:color="auto" w:fill="auto"/>
                </w:tcPr>
                <w:p w14:paraId="44C80C51" w14:textId="77777777" w:rsidR="005A298C" w:rsidRPr="00E600CF" w:rsidRDefault="005A298C" w:rsidP="00D61CDA">
                  <w:pPr>
                    <w:ind w:right="-96"/>
                    <w:jc w:val="center"/>
                    <w:rPr>
                      <w:rFonts w:eastAsia="Calibri" w:cs="Arial"/>
                      <w:b/>
                      <w:bCs/>
                      <w:sz w:val="4"/>
                      <w:szCs w:val="4"/>
                    </w:rPr>
                  </w:pPr>
                </w:p>
              </w:tc>
              <w:tc>
                <w:tcPr>
                  <w:tcW w:w="236" w:type="dxa"/>
                  <w:tcBorders>
                    <w:top w:val="nil"/>
                    <w:left w:val="nil"/>
                    <w:bottom w:val="nil"/>
                    <w:right w:val="nil"/>
                  </w:tcBorders>
                </w:tcPr>
                <w:p w14:paraId="498D64E1" w14:textId="77777777" w:rsidR="005A298C" w:rsidRPr="00E600CF" w:rsidRDefault="005A298C" w:rsidP="00D61CDA">
                  <w:pPr>
                    <w:ind w:right="-96"/>
                    <w:jc w:val="center"/>
                    <w:rPr>
                      <w:rFonts w:eastAsia="Calibri" w:cs="Arial"/>
                      <w:b/>
                      <w:bCs/>
                      <w:sz w:val="4"/>
                      <w:szCs w:val="4"/>
                    </w:rPr>
                  </w:pPr>
                </w:p>
              </w:tc>
              <w:tc>
                <w:tcPr>
                  <w:tcW w:w="1580" w:type="dxa"/>
                  <w:gridSpan w:val="2"/>
                  <w:tcBorders>
                    <w:top w:val="nil"/>
                    <w:left w:val="nil"/>
                    <w:bottom w:val="single" w:sz="4" w:space="0" w:color="auto"/>
                    <w:right w:val="nil"/>
                  </w:tcBorders>
                  <w:shd w:val="clear" w:color="auto" w:fill="auto"/>
                </w:tcPr>
                <w:p w14:paraId="5063E354" w14:textId="77777777" w:rsidR="005A298C" w:rsidRPr="00E600CF" w:rsidRDefault="005A298C" w:rsidP="00D61CDA">
                  <w:pPr>
                    <w:ind w:right="-96"/>
                    <w:jc w:val="center"/>
                    <w:rPr>
                      <w:rFonts w:eastAsia="Calibri" w:cs="Arial"/>
                      <w:b/>
                      <w:bCs/>
                      <w:sz w:val="4"/>
                      <w:szCs w:val="4"/>
                    </w:rPr>
                  </w:pPr>
                </w:p>
              </w:tc>
              <w:tc>
                <w:tcPr>
                  <w:tcW w:w="236" w:type="dxa"/>
                  <w:tcBorders>
                    <w:top w:val="nil"/>
                    <w:left w:val="nil"/>
                    <w:bottom w:val="nil"/>
                    <w:right w:val="nil"/>
                  </w:tcBorders>
                </w:tcPr>
                <w:p w14:paraId="2314F452" w14:textId="77777777" w:rsidR="005A298C" w:rsidRPr="00E600CF" w:rsidRDefault="005A298C" w:rsidP="00D61CDA">
                  <w:pPr>
                    <w:ind w:right="-96"/>
                    <w:jc w:val="center"/>
                    <w:rPr>
                      <w:rFonts w:eastAsia="Calibri" w:cs="Arial"/>
                      <w:b/>
                      <w:bCs/>
                      <w:sz w:val="4"/>
                      <w:szCs w:val="4"/>
                    </w:rPr>
                  </w:pPr>
                </w:p>
              </w:tc>
              <w:tc>
                <w:tcPr>
                  <w:tcW w:w="2244" w:type="dxa"/>
                  <w:gridSpan w:val="3"/>
                  <w:tcBorders>
                    <w:top w:val="nil"/>
                    <w:left w:val="nil"/>
                    <w:bottom w:val="single" w:sz="4" w:space="0" w:color="auto"/>
                    <w:right w:val="nil"/>
                  </w:tcBorders>
                  <w:shd w:val="clear" w:color="auto" w:fill="auto"/>
                </w:tcPr>
                <w:p w14:paraId="75EDA95B" w14:textId="77777777" w:rsidR="005A298C" w:rsidRPr="00E600CF" w:rsidRDefault="005A298C" w:rsidP="00D61CDA">
                  <w:pPr>
                    <w:ind w:right="-96"/>
                    <w:jc w:val="center"/>
                    <w:rPr>
                      <w:rFonts w:eastAsia="Calibri" w:cs="Arial"/>
                      <w:b/>
                      <w:bCs/>
                      <w:sz w:val="4"/>
                      <w:szCs w:val="4"/>
                    </w:rPr>
                  </w:pPr>
                </w:p>
              </w:tc>
              <w:tc>
                <w:tcPr>
                  <w:tcW w:w="240" w:type="dxa"/>
                  <w:tcBorders>
                    <w:top w:val="nil"/>
                    <w:left w:val="nil"/>
                    <w:bottom w:val="nil"/>
                    <w:right w:val="nil"/>
                  </w:tcBorders>
                </w:tcPr>
                <w:p w14:paraId="3986F169" w14:textId="77777777" w:rsidR="005A298C" w:rsidRPr="00E600CF" w:rsidRDefault="005A298C" w:rsidP="00D61CDA">
                  <w:pPr>
                    <w:ind w:right="-96"/>
                    <w:jc w:val="center"/>
                    <w:rPr>
                      <w:rFonts w:eastAsia="Calibri" w:cs="Arial"/>
                      <w:b/>
                      <w:bCs/>
                      <w:sz w:val="4"/>
                      <w:szCs w:val="4"/>
                    </w:rPr>
                  </w:pPr>
                </w:p>
              </w:tc>
              <w:tc>
                <w:tcPr>
                  <w:tcW w:w="1702" w:type="dxa"/>
                  <w:tcBorders>
                    <w:top w:val="nil"/>
                    <w:left w:val="nil"/>
                    <w:bottom w:val="single" w:sz="4" w:space="0" w:color="auto"/>
                    <w:right w:val="nil"/>
                  </w:tcBorders>
                  <w:shd w:val="clear" w:color="auto" w:fill="auto"/>
                </w:tcPr>
                <w:p w14:paraId="08E80B9C" w14:textId="77777777" w:rsidR="005A298C" w:rsidRPr="00E600CF" w:rsidRDefault="005A298C" w:rsidP="00D61CDA">
                  <w:pPr>
                    <w:ind w:right="-96"/>
                    <w:jc w:val="center"/>
                    <w:rPr>
                      <w:rFonts w:eastAsia="Calibri" w:cs="Arial"/>
                      <w:b/>
                      <w:bCs/>
                      <w:sz w:val="4"/>
                      <w:szCs w:val="4"/>
                    </w:rPr>
                  </w:pPr>
                </w:p>
              </w:tc>
            </w:tr>
            <w:tr w:rsidR="005A298C" w14:paraId="09B47AF1" w14:textId="77777777" w:rsidTr="00D61CDA">
              <w:tc>
                <w:tcPr>
                  <w:tcW w:w="1310" w:type="dxa"/>
                  <w:tcBorders>
                    <w:top w:val="nil"/>
                    <w:right w:val="single" w:sz="4" w:space="0" w:color="auto"/>
                  </w:tcBorders>
                  <w:shd w:val="clear" w:color="auto" w:fill="BFBFBF" w:themeFill="background1" w:themeFillShade="BF"/>
                </w:tcPr>
                <w:p w14:paraId="561F02D8" w14:textId="77777777" w:rsidR="005A298C" w:rsidRPr="00477CD2" w:rsidRDefault="005A298C" w:rsidP="00D61CDA">
                  <w:pPr>
                    <w:spacing w:before="60" w:after="60"/>
                    <w:ind w:left="-78" w:right="-96"/>
                    <w:jc w:val="center"/>
                    <w:rPr>
                      <w:rFonts w:eastAsia="Calibri" w:cs="Arial"/>
                      <w:b/>
                      <w:bCs/>
                      <w:sz w:val="16"/>
                      <w:szCs w:val="16"/>
                    </w:rPr>
                  </w:pPr>
                  <w:r>
                    <w:rPr>
                      <w:rFonts w:eastAsia="Calibri" w:cs="Arial"/>
                      <w:b/>
                      <w:bCs/>
                      <w:sz w:val="16"/>
                      <w:szCs w:val="16"/>
                    </w:rPr>
                    <w:t>Neues Element</w:t>
                  </w:r>
                </w:p>
              </w:tc>
              <w:tc>
                <w:tcPr>
                  <w:tcW w:w="236" w:type="dxa"/>
                  <w:gridSpan w:val="2"/>
                  <w:tcBorders>
                    <w:top w:val="nil"/>
                    <w:left w:val="single" w:sz="4" w:space="0" w:color="auto"/>
                    <w:bottom w:val="nil"/>
                    <w:right w:val="single" w:sz="4" w:space="0" w:color="auto"/>
                  </w:tcBorders>
                  <w:shd w:val="clear" w:color="auto" w:fill="auto"/>
                </w:tcPr>
                <w:p w14:paraId="7EBD0B41" w14:textId="77777777" w:rsidR="005A298C" w:rsidRDefault="005A298C" w:rsidP="00D61CDA">
                  <w:pPr>
                    <w:spacing w:before="60" w:after="60"/>
                    <w:ind w:right="-96"/>
                    <w:jc w:val="center"/>
                    <w:rPr>
                      <w:rFonts w:eastAsia="Calibri" w:cs="Arial"/>
                      <w:b/>
                      <w:bCs/>
                      <w:sz w:val="16"/>
                      <w:szCs w:val="16"/>
                    </w:rPr>
                  </w:pPr>
                </w:p>
              </w:tc>
              <w:tc>
                <w:tcPr>
                  <w:tcW w:w="1606" w:type="dxa"/>
                  <w:tcBorders>
                    <w:top w:val="nil"/>
                    <w:left w:val="single" w:sz="4" w:space="0" w:color="auto"/>
                    <w:right w:val="single" w:sz="4" w:space="0" w:color="auto"/>
                  </w:tcBorders>
                  <w:shd w:val="clear" w:color="auto" w:fill="BFBFBF" w:themeFill="background1" w:themeFillShade="BF"/>
                </w:tcPr>
                <w:p w14:paraId="3565C74E" w14:textId="77777777" w:rsidR="005A298C" w:rsidRPr="00477CD2" w:rsidRDefault="005A298C" w:rsidP="00D61CDA">
                  <w:pPr>
                    <w:spacing w:before="60" w:after="60"/>
                    <w:ind w:left="-59" w:right="-96"/>
                    <w:jc w:val="center"/>
                    <w:rPr>
                      <w:rFonts w:eastAsia="Calibri" w:cs="Arial"/>
                      <w:b/>
                      <w:bCs/>
                      <w:sz w:val="16"/>
                      <w:szCs w:val="16"/>
                    </w:rPr>
                  </w:pPr>
                  <w:r>
                    <w:rPr>
                      <w:rFonts w:eastAsia="Calibri" w:cs="Arial"/>
                      <w:b/>
                      <w:bCs/>
                      <w:sz w:val="16"/>
                      <w:szCs w:val="16"/>
                    </w:rPr>
                    <w:t>Element bearbeiten</w:t>
                  </w:r>
                </w:p>
              </w:tc>
              <w:tc>
                <w:tcPr>
                  <w:tcW w:w="236" w:type="dxa"/>
                  <w:tcBorders>
                    <w:top w:val="nil"/>
                    <w:left w:val="single" w:sz="4" w:space="0" w:color="auto"/>
                    <w:bottom w:val="nil"/>
                    <w:right w:val="single" w:sz="4" w:space="0" w:color="auto"/>
                  </w:tcBorders>
                  <w:shd w:val="clear" w:color="auto" w:fill="auto"/>
                </w:tcPr>
                <w:p w14:paraId="1C9BDD92" w14:textId="77777777" w:rsidR="005A298C" w:rsidRDefault="005A298C" w:rsidP="00D61CDA">
                  <w:pPr>
                    <w:spacing w:before="60" w:after="60"/>
                    <w:ind w:right="-96"/>
                    <w:jc w:val="center"/>
                    <w:rPr>
                      <w:rFonts w:eastAsia="Calibri" w:cs="Arial"/>
                      <w:b/>
                      <w:bCs/>
                      <w:sz w:val="16"/>
                      <w:szCs w:val="16"/>
                    </w:rPr>
                  </w:pPr>
                </w:p>
              </w:tc>
              <w:tc>
                <w:tcPr>
                  <w:tcW w:w="1580" w:type="dxa"/>
                  <w:gridSpan w:val="2"/>
                  <w:tcBorders>
                    <w:top w:val="nil"/>
                    <w:left w:val="single" w:sz="4" w:space="0" w:color="auto"/>
                    <w:right w:val="single" w:sz="4" w:space="0" w:color="auto"/>
                  </w:tcBorders>
                  <w:shd w:val="clear" w:color="auto" w:fill="BFBFBF" w:themeFill="background1" w:themeFillShade="BF"/>
                </w:tcPr>
                <w:p w14:paraId="228FE28A" w14:textId="77777777" w:rsidR="005A298C" w:rsidRPr="00477CD2" w:rsidRDefault="005A298C" w:rsidP="00D61CDA">
                  <w:pPr>
                    <w:spacing w:before="60" w:after="60"/>
                    <w:ind w:right="-96"/>
                    <w:jc w:val="center"/>
                    <w:rPr>
                      <w:rFonts w:eastAsia="Calibri" w:cs="Arial"/>
                      <w:b/>
                      <w:bCs/>
                      <w:sz w:val="16"/>
                      <w:szCs w:val="16"/>
                    </w:rPr>
                  </w:pPr>
                  <w:r>
                    <w:rPr>
                      <w:rFonts w:eastAsia="Calibri" w:cs="Arial"/>
                      <w:b/>
                      <w:bCs/>
                      <w:sz w:val="16"/>
                      <w:szCs w:val="16"/>
                    </w:rPr>
                    <w:t>Element löschen</w:t>
                  </w:r>
                </w:p>
              </w:tc>
              <w:tc>
                <w:tcPr>
                  <w:tcW w:w="236" w:type="dxa"/>
                  <w:tcBorders>
                    <w:top w:val="nil"/>
                    <w:left w:val="single" w:sz="4" w:space="0" w:color="auto"/>
                    <w:bottom w:val="nil"/>
                    <w:right w:val="single" w:sz="4" w:space="0" w:color="auto"/>
                  </w:tcBorders>
                  <w:shd w:val="clear" w:color="auto" w:fill="auto"/>
                </w:tcPr>
                <w:p w14:paraId="04F279F7" w14:textId="77777777" w:rsidR="005A298C" w:rsidRDefault="005A298C" w:rsidP="00D61CDA">
                  <w:pPr>
                    <w:spacing w:before="60" w:after="60"/>
                    <w:ind w:right="-96"/>
                    <w:jc w:val="center"/>
                    <w:rPr>
                      <w:rFonts w:eastAsia="Calibri" w:cs="Arial"/>
                      <w:b/>
                      <w:bCs/>
                      <w:sz w:val="16"/>
                      <w:szCs w:val="16"/>
                    </w:rPr>
                  </w:pPr>
                </w:p>
              </w:tc>
              <w:tc>
                <w:tcPr>
                  <w:tcW w:w="2244" w:type="dxa"/>
                  <w:gridSpan w:val="3"/>
                  <w:tcBorders>
                    <w:top w:val="single" w:sz="4" w:space="0" w:color="auto"/>
                    <w:left w:val="single" w:sz="4" w:space="0" w:color="auto"/>
                    <w:right w:val="single" w:sz="4" w:space="0" w:color="auto"/>
                  </w:tcBorders>
                  <w:shd w:val="clear" w:color="auto" w:fill="BFBFBF" w:themeFill="background1" w:themeFillShade="BF"/>
                </w:tcPr>
                <w:p w14:paraId="653DA430" w14:textId="77777777" w:rsidR="005A298C" w:rsidRPr="00477CD2" w:rsidRDefault="005A298C" w:rsidP="00D61CDA">
                  <w:pPr>
                    <w:spacing w:before="60" w:after="60"/>
                    <w:ind w:right="-96"/>
                    <w:jc w:val="center"/>
                    <w:rPr>
                      <w:rFonts w:eastAsia="Calibri" w:cs="Arial"/>
                      <w:b/>
                      <w:bCs/>
                      <w:sz w:val="16"/>
                      <w:szCs w:val="16"/>
                    </w:rPr>
                  </w:pPr>
                  <w:r>
                    <w:rPr>
                      <w:rFonts w:eastAsia="Calibri" w:cs="Arial"/>
                      <w:b/>
                      <w:bCs/>
                      <w:sz w:val="16"/>
                      <w:szCs w:val="16"/>
                    </w:rPr>
                    <w:t>Berechtigungen verwalten</w:t>
                  </w:r>
                </w:p>
              </w:tc>
              <w:tc>
                <w:tcPr>
                  <w:tcW w:w="240" w:type="dxa"/>
                  <w:tcBorders>
                    <w:top w:val="nil"/>
                    <w:left w:val="single" w:sz="4" w:space="0" w:color="auto"/>
                    <w:bottom w:val="nil"/>
                    <w:right w:val="single" w:sz="4" w:space="0" w:color="auto"/>
                  </w:tcBorders>
                  <w:shd w:val="clear" w:color="auto" w:fill="auto"/>
                </w:tcPr>
                <w:p w14:paraId="08D0ACC4" w14:textId="77777777" w:rsidR="005A298C" w:rsidRDefault="005A298C" w:rsidP="00D61CDA">
                  <w:pPr>
                    <w:spacing w:before="60" w:after="60"/>
                    <w:ind w:right="-96"/>
                    <w:jc w:val="center"/>
                    <w:rPr>
                      <w:rFonts w:eastAsia="Calibri" w:cs="Arial"/>
                      <w:b/>
                      <w:bCs/>
                      <w:sz w:val="16"/>
                      <w:szCs w:val="16"/>
                    </w:rPr>
                  </w:pPr>
                </w:p>
              </w:tc>
              <w:tc>
                <w:tcPr>
                  <w:tcW w:w="1702" w:type="dxa"/>
                  <w:tcBorders>
                    <w:top w:val="single" w:sz="4" w:space="0" w:color="auto"/>
                    <w:left w:val="single" w:sz="4" w:space="0" w:color="auto"/>
                  </w:tcBorders>
                  <w:shd w:val="clear" w:color="auto" w:fill="BFBFBF" w:themeFill="background1" w:themeFillShade="BF"/>
                </w:tcPr>
                <w:p w14:paraId="4880A130" w14:textId="77777777" w:rsidR="005A298C" w:rsidRPr="00477CD2" w:rsidRDefault="005A298C" w:rsidP="00D61CDA">
                  <w:pPr>
                    <w:spacing w:before="60" w:after="60"/>
                    <w:ind w:left="-113" w:right="-96"/>
                    <w:jc w:val="center"/>
                    <w:rPr>
                      <w:rFonts w:eastAsia="Calibri" w:cs="Arial"/>
                      <w:b/>
                      <w:bCs/>
                      <w:sz w:val="16"/>
                      <w:szCs w:val="16"/>
                    </w:rPr>
                  </w:pPr>
                  <w:r>
                    <w:rPr>
                      <w:rFonts w:eastAsia="Calibri" w:cs="Arial"/>
                      <w:b/>
                      <w:bCs/>
                      <w:sz w:val="16"/>
                      <w:szCs w:val="16"/>
                    </w:rPr>
                    <w:t>Benachrichtigungen</w:t>
                  </w:r>
                </w:p>
              </w:tc>
            </w:tr>
          </w:tbl>
          <w:p w14:paraId="6BDD347C" w14:textId="77777777" w:rsidR="005A298C" w:rsidRPr="00E600CF" w:rsidRDefault="005A298C" w:rsidP="00D61CDA">
            <w:pPr>
              <w:spacing w:after="0" w:line="240" w:lineRule="auto"/>
              <w:ind w:left="-108" w:right="-96"/>
              <w:jc w:val="center"/>
              <w:rPr>
                <w:rFonts w:eastAsia="Calibri" w:cs="Arial"/>
                <w:sz w:val="4"/>
                <w:szCs w:val="4"/>
              </w:rPr>
            </w:pPr>
            <w:r w:rsidRPr="00E600CF">
              <w:rPr>
                <w:rFonts w:eastAsia="Calibri" w:cs="Arial"/>
                <w:b/>
                <w:bCs/>
                <w:noProof/>
                <w:sz w:val="4"/>
                <w:szCs w:val="4"/>
                <w:lang w:eastAsia="de-DE"/>
              </w:rPr>
              <mc:AlternateContent>
                <mc:Choice Requires="wps">
                  <w:drawing>
                    <wp:anchor distT="0" distB="0" distL="114300" distR="114300" simplePos="0" relativeHeight="251683840" behindDoc="0" locked="0" layoutInCell="1" allowOverlap="1" wp14:anchorId="55A0FA7B" wp14:editId="1BB61E0C">
                      <wp:simplePos x="0" y="0"/>
                      <wp:positionH relativeFrom="column">
                        <wp:posOffset>3928110</wp:posOffset>
                      </wp:positionH>
                      <wp:positionV relativeFrom="paragraph">
                        <wp:posOffset>-511810</wp:posOffset>
                      </wp:positionV>
                      <wp:extent cx="838200" cy="251460"/>
                      <wp:effectExtent l="0" t="0" r="0" b="0"/>
                      <wp:wrapNone/>
                      <wp:docPr id="3" name="Textfeld 3"/>
                      <wp:cNvGraphicFramePr/>
                      <a:graphic xmlns:a="http://schemas.openxmlformats.org/drawingml/2006/main">
                        <a:graphicData uri="http://schemas.microsoft.com/office/word/2010/wordprocessingShape">
                          <wps:wsp>
                            <wps:cNvSpPr txBox="1"/>
                            <wps:spPr>
                              <a:xfrm>
                                <a:off x="0" y="0"/>
                                <a:ext cx="838200" cy="251460"/>
                              </a:xfrm>
                              <a:prstGeom prst="rect">
                                <a:avLst/>
                              </a:prstGeom>
                              <a:solidFill>
                                <a:schemeClr val="accent1">
                                  <a:lumMod val="20000"/>
                                  <a:lumOff val="80000"/>
                                </a:schemeClr>
                              </a:solidFill>
                              <a:ln w="6350">
                                <a:noFill/>
                              </a:ln>
                            </wps:spPr>
                            <wps:txbx>
                              <w:txbxContent>
                                <w:p w14:paraId="0D9BC9E7" w14:textId="77777777" w:rsidR="00025EDC" w:rsidRPr="000701D8" w:rsidRDefault="00025EDC" w:rsidP="005A298C">
                                  <w:pPr>
                                    <w:pStyle w:val="TextSituation"/>
                                    <w:shd w:val="clear" w:color="auto" w:fill="DEEAF6" w:themeFill="accent1" w:themeFillTint="33"/>
                                    <w:spacing w:line="240" w:lineRule="auto"/>
                                    <w:jc w:val="center"/>
                                    <w:rPr>
                                      <w:sz w:val="20"/>
                                      <w:szCs w:val="20"/>
                                    </w:rPr>
                                  </w:pPr>
                                  <w:r w:rsidRPr="000701D8">
                                    <w:rPr>
                                      <w:bCs/>
                                      <w:sz w:val="20"/>
                                      <w:szCs w:val="20"/>
                                    </w:rPr>
                                    <w:sym w:font="Wingdings" w:char="F0FD"/>
                                  </w:r>
                                  <w:r w:rsidRPr="000701D8">
                                    <w:rPr>
                                      <w:bCs/>
                                      <w:sz w:val="20"/>
                                      <w:szCs w:val="20"/>
                                    </w:rPr>
                                    <w:t xml:space="preserve"> </w:t>
                                  </w:r>
                                  <w:r w:rsidRPr="000701D8">
                                    <w:rPr>
                                      <w:b/>
                                      <w:sz w:val="20"/>
                                      <w:szCs w:val="20"/>
                                    </w:rPr>
                                    <w:t>A</w:t>
                                  </w:r>
                                  <w:r>
                                    <w:rPr>
                                      <w:b/>
                                      <w:sz w:val="20"/>
                                      <w:szCs w:val="20"/>
                                    </w:rPr>
                                    <w:t>nhang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0FA7B" id="_x0000_t202" coordsize="21600,21600" o:spt="202" path="m,l,21600r21600,l21600,xe">
                      <v:stroke joinstyle="miter"/>
                      <v:path gradientshapeok="t" o:connecttype="rect"/>
                    </v:shapetype>
                    <v:shape id="Textfeld 3" o:spid="_x0000_s1026" type="#_x0000_t202" style="position:absolute;left:0;text-align:left;margin-left:309.3pt;margin-top:-40.3pt;width:66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" fillcolor="#deeaf6 [660]" stroked="f" strokeweight=".5pt">
                      <v:textbox>
                        <w:txbxContent>
                          <w:p w14:paraId="0D9BC9E7" w14:textId="77777777" w:rsidR="00025EDC" w:rsidRPr="000701D8" w:rsidRDefault="00025EDC" w:rsidP="005A298C">
                            <w:pPr>
                              <w:pStyle w:val="TextSituation"/>
                              <w:shd w:val="clear" w:color="auto" w:fill="DEEAF6" w:themeFill="accent1" w:themeFillTint="33"/>
                              <w:spacing w:line="240" w:lineRule="auto"/>
                              <w:jc w:val="center"/>
                              <w:rPr>
                                <w:sz w:val="20"/>
                                <w:szCs w:val="20"/>
                              </w:rPr>
                            </w:pPr>
                            <w:r w:rsidRPr="000701D8">
                              <w:rPr>
                                <w:bCs/>
                                <w:sz w:val="20"/>
                                <w:szCs w:val="20"/>
                              </w:rPr>
                              <w:sym w:font="Wingdings" w:char="F0FD"/>
                            </w:r>
                            <w:r w:rsidRPr="000701D8">
                              <w:rPr>
                                <w:bCs/>
                                <w:sz w:val="20"/>
                                <w:szCs w:val="20"/>
                              </w:rPr>
                              <w:t xml:space="preserve"> </w:t>
                            </w:r>
                            <w:r w:rsidRPr="000701D8">
                              <w:rPr>
                                <w:b/>
                                <w:sz w:val="20"/>
                                <w:szCs w:val="20"/>
                              </w:rPr>
                              <w:t>A</w:t>
                            </w:r>
                            <w:r>
                              <w:rPr>
                                <w:b/>
                                <w:sz w:val="20"/>
                                <w:szCs w:val="20"/>
                              </w:rPr>
                              <w:t>nhang</w:t>
                            </w:r>
                          </w:p>
                        </w:txbxContent>
                      </v:textbox>
                    </v:shape>
                  </w:pict>
                </mc:Fallback>
              </mc:AlternateContent>
            </w:r>
          </w:p>
        </w:tc>
      </w:tr>
      <w:tr w:rsidR="005A298C" w14:paraId="2C00276E" w14:textId="77777777" w:rsidTr="00D61CDA">
        <w:trPr>
          <w:trHeight w:val="442"/>
        </w:trPr>
        <w:tc>
          <w:tcPr>
            <w:tcW w:w="1156" w:type="dxa"/>
            <w:shd w:val="clear" w:color="auto" w:fill="DEEAF6" w:themeFill="accent1" w:themeFillTint="33"/>
            <w:vAlign w:val="center"/>
          </w:tcPr>
          <w:p w14:paraId="6CA098F8" w14:textId="77777777" w:rsidR="005A298C" w:rsidRPr="004629CD" w:rsidRDefault="005A298C" w:rsidP="00D61CDA">
            <w:pPr>
              <w:rPr>
                <w:rFonts w:eastAsia="Calibri" w:cs="Arial"/>
                <w:b/>
                <w:color w:val="984806"/>
                <w:sz w:val="16"/>
              </w:rPr>
            </w:pPr>
            <w:r w:rsidRPr="004629CD">
              <w:rPr>
                <w:rFonts w:eastAsia="Calibri" w:cs="Arial"/>
                <w:b/>
                <w:color w:val="984806"/>
                <w:sz w:val="16"/>
              </w:rPr>
              <w:t>Titel</w:t>
            </w:r>
          </w:p>
        </w:tc>
        <w:tc>
          <w:tcPr>
            <w:tcW w:w="8483" w:type="dxa"/>
            <w:gridSpan w:val="2"/>
            <w:shd w:val="clear" w:color="auto" w:fill="DEEAF6" w:themeFill="accent1" w:themeFillTint="33"/>
            <w:vAlign w:val="center"/>
          </w:tcPr>
          <w:p w14:paraId="681941DA" w14:textId="77777777" w:rsidR="005A298C" w:rsidRPr="004D147A" w:rsidRDefault="005A298C" w:rsidP="00D61CDA">
            <w:pPr>
              <w:rPr>
                <w:rFonts w:eastAsia="Calibri" w:cs="Arial"/>
                <w:b/>
                <w:bCs/>
              </w:rPr>
            </w:pPr>
            <w:r>
              <w:rPr>
                <w:rFonts w:eastAsia="Calibri" w:cs="Arial"/>
                <w:b/>
                <w:bCs/>
              </w:rPr>
              <w:t>Vorbereitung und Durchführung einer Präsentation</w:t>
            </w:r>
          </w:p>
        </w:tc>
      </w:tr>
      <w:tr w:rsidR="005A298C" w14:paraId="69C63314" w14:textId="77777777" w:rsidTr="00D61CDA">
        <w:trPr>
          <w:trHeight w:val="3367"/>
        </w:trPr>
        <w:tc>
          <w:tcPr>
            <w:tcW w:w="1156" w:type="dxa"/>
            <w:shd w:val="clear" w:color="auto" w:fill="DEEAF6" w:themeFill="accent1" w:themeFillTint="33"/>
          </w:tcPr>
          <w:p w14:paraId="1CF57BA2" w14:textId="77777777" w:rsidR="005A298C" w:rsidRPr="004629CD" w:rsidRDefault="005A298C" w:rsidP="00D61CDA">
            <w:pPr>
              <w:jc w:val="both"/>
              <w:rPr>
                <w:rFonts w:eastAsia="Calibri" w:cs="Arial"/>
                <w:b/>
                <w:color w:val="984806"/>
                <w:sz w:val="16"/>
              </w:rPr>
            </w:pPr>
            <w:r>
              <w:rPr>
                <w:rFonts w:eastAsia="Calibri" w:cs="Arial"/>
                <w:b/>
                <w:color w:val="984806"/>
                <w:sz w:val="16"/>
              </w:rPr>
              <w:t>Auftrag</w:t>
            </w:r>
          </w:p>
        </w:tc>
        <w:tc>
          <w:tcPr>
            <w:tcW w:w="8483" w:type="dxa"/>
            <w:gridSpan w:val="2"/>
            <w:shd w:val="clear" w:color="auto" w:fill="DEEAF6" w:themeFill="accent1" w:themeFillTint="33"/>
          </w:tcPr>
          <w:p w14:paraId="1094B312" w14:textId="77777777" w:rsidR="005A298C" w:rsidRPr="004629CD" w:rsidRDefault="005A298C" w:rsidP="00E763E8">
            <w:pPr>
              <w:spacing w:after="0" w:line="360" w:lineRule="auto"/>
              <w:rPr>
                <w:rFonts w:eastAsia="Calibri" w:cs="Arial"/>
              </w:rPr>
            </w:pPr>
            <w:r>
              <w:rPr>
                <w:rFonts w:eastAsia="Calibri" w:cs="Arial"/>
              </w:rPr>
              <w:t>Sehr geschätzte</w:t>
            </w:r>
            <w:r w:rsidRPr="004629CD">
              <w:rPr>
                <w:rFonts w:eastAsia="Calibri" w:cs="Arial"/>
              </w:rPr>
              <w:t xml:space="preserve"> </w:t>
            </w:r>
            <w:r>
              <w:rPr>
                <w:rFonts w:eastAsia="Calibri" w:cs="Arial"/>
              </w:rPr>
              <w:t>Kolleginnen und Kollegen</w:t>
            </w:r>
            <w:r w:rsidRPr="004629CD">
              <w:rPr>
                <w:rFonts w:eastAsia="Calibri" w:cs="Arial"/>
              </w:rPr>
              <w:t>,</w:t>
            </w:r>
          </w:p>
          <w:p w14:paraId="33A67C60" w14:textId="02FB20F2" w:rsidR="005A298C" w:rsidRDefault="005A298C" w:rsidP="00E763E8">
            <w:pPr>
              <w:pStyle w:val="TextSituation"/>
              <w:spacing w:line="360" w:lineRule="auto"/>
            </w:pPr>
            <w:r>
              <w:t xml:space="preserve">unsere Entscheidung, Verwahrentgelte auf bestimmte Einlagen einzuführen, hat in unserem Kundenkreis hohe Wellen geschlagen. Viele </w:t>
            </w:r>
            <w:r w:rsidR="00E763E8">
              <w:t xml:space="preserve">Kundinnen und </w:t>
            </w:r>
            <w:r>
              <w:t xml:space="preserve">Kunden haben ihr Unverständnis und ihre Unzufriedenheit mit dieser Entscheidung ausgedrückt. Wir im Vorstand der </w:t>
            </w:r>
            <w:proofErr w:type="spellStart"/>
            <w:r>
              <w:t>Sparbank</w:t>
            </w:r>
            <w:proofErr w:type="spellEnd"/>
            <w:r>
              <w:t xml:space="preserve"> AG halten aber unsere Entscheidung vor dem Hintergrund der dauerhaft veränderten Marktsituation für betriebswirtschaftlich zwingend notwendig.</w:t>
            </w:r>
          </w:p>
          <w:p w14:paraId="14FE499E" w14:textId="3962BB49" w:rsidR="005A298C" w:rsidRDefault="005A298C" w:rsidP="00E763E8">
            <w:pPr>
              <w:pStyle w:val="TextSituation"/>
              <w:spacing w:line="360" w:lineRule="auto"/>
            </w:pPr>
            <w:r>
              <w:t xml:space="preserve">Auf der anderen Seite ist es uns im Vorstand wichtig, auf unsere </w:t>
            </w:r>
            <w:r w:rsidR="00E763E8">
              <w:t xml:space="preserve">Kundinnen und </w:t>
            </w:r>
            <w:r>
              <w:t xml:space="preserve">Kunden </w:t>
            </w:r>
            <w:r w:rsidR="008A6216">
              <w:t xml:space="preserve">und die Öffentlichkeit </w:t>
            </w:r>
            <w:r>
              <w:t>zuzugehen und ihnen die Grundlagen und Hintergründe dieser geschäftspolitischen Entscheidung zu erläutern. Zu diesem Zweck planen wir, in der nächsten Zeit Informationsveranstaltungen durchzuführen.</w:t>
            </w:r>
          </w:p>
          <w:p w14:paraId="7A5AE499" w14:textId="28742D4D" w:rsidR="005A298C" w:rsidRDefault="001222B1" w:rsidP="00E763E8">
            <w:pPr>
              <w:pStyle w:val="TextSituation"/>
              <w:spacing w:line="360" w:lineRule="auto"/>
            </w:pPr>
            <w:r>
              <w:t xml:space="preserve">Der Vorstand der </w:t>
            </w:r>
            <w:proofErr w:type="spellStart"/>
            <w:r>
              <w:t>Sparbank</w:t>
            </w:r>
            <w:proofErr w:type="spellEnd"/>
            <w:r>
              <w:t> </w:t>
            </w:r>
            <w:r w:rsidR="005A298C">
              <w:t xml:space="preserve">AG möchte Sie, liebe Kolleginnen und Kollegen, bei der Vorbereitung dieser Veranstaltungen einbeziehen. Ihr Auftrag besteht in diesem Zusammenhang darin, eine Präsentation zum Thema „Geldschöpfung“ zu erstellen. Sie sollen dann bei den geplanten Veranstaltungen dieses Thema gut nachvollziehbar in maximal 30 Minuten präsentieren. </w:t>
            </w:r>
          </w:p>
          <w:p w14:paraId="0C00B640" w14:textId="77777777" w:rsidR="005A298C" w:rsidRDefault="005A298C" w:rsidP="00E763E8">
            <w:pPr>
              <w:pStyle w:val="TextSituation"/>
              <w:spacing w:line="360" w:lineRule="auto"/>
            </w:pPr>
            <w:r>
              <w:t>Folgende Themenaspekte sollen in der Präsentation enthalten sein:</w:t>
            </w:r>
          </w:p>
          <w:p w14:paraId="125C61B0" w14:textId="77777777" w:rsidR="005A298C" w:rsidRDefault="005A298C" w:rsidP="00E763E8">
            <w:pPr>
              <w:pStyle w:val="TextAuftrge"/>
              <w:numPr>
                <w:ilvl w:val="0"/>
                <w:numId w:val="10"/>
              </w:numPr>
              <w:spacing w:before="0" w:after="0" w:line="360" w:lineRule="auto"/>
              <w:rPr>
                <w:rFonts w:cs="Arial"/>
              </w:rPr>
            </w:pPr>
            <w:r>
              <w:rPr>
                <w:rFonts w:cs="Arial"/>
              </w:rPr>
              <w:t>Geldschöpfung der Geschäftsbanken</w:t>
            </w:r>
          </w:p>
          <w:p w14:paraId="7D1C4565" w14:textId="77777777" w:rsidR="005A298C" w:rsidRPr="00E40773" w:rsidRDefault="005A298C" w:rsidP="00E763E8">
            <w:pPr>
              <w:pStyle w:val="TextAuftrge"/>
              <w:numPr>
                <w:ilvl w:val="0"/>
                <w:numId w:val="10"/>
              </w:numPr>
              <w:spacing w:before="0" w:after="0" w:line="360" w:lineRule="auto"/>
            </w:pPr>
            <w:r>
              <w:rPr>
                <w:rFonts w:cs="Arial"/>
              </w:rPr>
              <w:t>Entwicklung</w:t>
            </w:r>
            <w:r w:rsidRPr="00F71A12">
              <w:rPr>
                <w:rFonts w:cs="Arial"/>
              </w:rPr>
              <w:t xml:space="preserve"> der </w:t>
            </w:r>
            <w:proofErr w:type="spellStart"/>
            <w:r>
              <w:rPr>
                <w:rFonts w:cs="Arial"/>
              </w:rPr>
              <w:t>Giralgeldschöpfung</w:t>
            </w:r>
            <w:proofErr w:type="spellEnd"/>
            <w:r w:rsidRPr="00F71A12">
              <w:rPr>
                <w:rFonts w:cs="Arial"/>
              </w:rPr>
              <w:t xml:space="preserve"> </w:t>
            </w:r>
            <w:r>
              <w:rPr>
                <w:rFonts w:cs="Arial"/>
              </w:rPr>
              <w:t>im Euroraum</w:t>
            </w:r>
          </w:p>
          <w:p w14:paraId="409F3731" w14:textId="77777777" w:rsidR="005A298C" w:rsidRPr="00F71A12" w:rsidRDefault="005A298C" w:rsidP="00E763E8">
            <w:pPr>
              <w:pStyle w:val="TextAuftrge"/>
              <w:numPr>
                <w:ilvl w:val="0"/>
                <w:numId w:val="10"/>
              </w:numPr>
              <w:spacing w:before="0" w:after="0" w:line="360" w:lineRule="auto"/>
            </w:pPr>
            <w:r>
              <w:t xml:space="preserve">Grenzen der </w:t>
            </w:r>
            <w:proofErr w:type="spellStart"/>
            <w:r>
              <w:t>Giralgeldschöpfung</w:t>
            </w:r>
            <w:proofErr w:type="spellEnd"/>
            <w:r>
              <w:t xml:space="preserve"> durch Kreditvergabe</w:t>
            </w:r>
          </w:p>
          <w:p w14:paraId="37152440" w14:textId="77777777" w:rsidR="005A298C" w:rsidRPr="00397AD0" w:rsidRDefault="005A298C" w:rsidP="00E763E8">
            <w:pPr>
              <w:pStyle w:val="TextAuftrge"/>
              <w:numPr>
                <w:ilvl w:val="0"/>
                <w:numId w:val="10"/>
              </w:numPr>
              <w:spacing w:before="0" w:after="0" w:line="360" w:lineRule="auto"/>
            </w:pPr>
            <w:r>
              <w:rPr>
                <w:rFonts w:cs="Arial"/>
              </w:rPr>
              <w:t xml:space="preserve">Geldschöpfung </w:t>
            </w:r>
            <w:r w:rsidRPr="00F71A12">
              <w:rPr>
                <w:rFonts w:cs="Arial"/>
              </w:rPr>
              <w:t xml:space="preserve">der </w:t>
            </w:r>
            <w:r>
              <w:rPr>
                <w:rFonts w:cs="Arial"/>
              </w:rPr>
              <w:t>Europäischen Zentralbank</w:t>
            </w:r>
          </w:p>
          <w:p w14:paraId="411C6FBC" w14:textId="77777777" w:rsidR="005A298C" w:rsidRDefault="005A298C" w:rsidP="00E763E8">
            <w:pPr>
              <w:pStyle w:val="TextAuftrge"/>
              <w:numPr>
                <w:ilvl w:val="0"/>
                <w:numId w:val="10"/>
              </w:numPr>
              <w:spacing w:before="0" w:after="0" w:line="360" w:lineRule="auto"/>
              <w:ind w:left="714" w:hanging="357"/>
            </w:pPr>
            <w:r>
              <w:rPr>
                <w:rFonts w:cs="Arial"/>
              </w:rPr>
              <w:t>Auswirkungen der umfangreichen Geldschöpfung im Euroraum</w:t>
            </w:r>
          </w:p>
          <w:p w14:paraId="7AF759E2" w14:textId="77777777" w:rsidR="005A298C" w:rsidRDefault="005A298C" w:rsidP="00E763E8">
            <w:pPr>
              <w:spacing w:after="0" w:line="360" w:lineRule="auto"/>
              <w:rPr>
                <w:rFonts w:eastAsia="Calibri" w:cs="Arial"/>
              </w:rPr>
            </w:pPr>
            <w:r>
              <w:rPr>
                <w:rFonts w:eastAsia="Calibri" w:cs="Arial"/>
              </w:rPr>
              <w:t>Wir sind überzeugt, dass Sie diese Aufgabe hervorragend erfüllen werden, und danken Ihnen schon heute für Ihr Engagement.</w:t>
            </w:r>
          </w:p>
          <w:p w14:paraId="5E1EBC4B" w14:textId="77777777" w:rsidR="001222B1" w:rsidRDefault="001222B1" w:rsidP="00E763E8">
            <w:pPr>
              <w:spacing w:after="0" w:line="360" w:lineRule="auto"/>
              <w:rPr>
                <w:rFonts w:eastAsia="Calibri" w:cs="Arial"/>
              </w:rPr>
            </w:pPr>
          </w:p>
          <w:p w14:paraId="7E402417" w14:textId="76BA24B2" w:rsidR="005A298C" w:rsidRDefault="005A298C" w:rsidP="00E763E8">
            <w:pPr>
              <w:spacing w:after="0" w:line="360" w:lineRule="auto"/>
              <w:rPr>
                <w:rFonts w:eastAsia="Calibri" w:cs="Arial"/>
              </w:rPr>
            </w:pPr>
            <w:r>
              <w:rPr>
                <w:rFonts w:eastAsia="Calibri" w:cs="Arial"/>
              </w:rPr>
              <w:t>Mit freundlichen Grüßen</w:t>
            </w:r>
          </w:p>
          <w:p w14:paraId="37797363" w14:textId="77777777" w:rsidR="005A298C" w:rsidRDefault="005A298C" w:rsidP="00E763E8">
            <w:pPr>
              <w:spacing w:after="0" w:line="360" w:lineRule="auto"/>
              <w:rPr>
                <w:rFonts w:eastAsia="Calibri" w:cs="Arial"/>
              </w:rPr>
            </w:pPr>
          </w:p>
          <w:p w14:paraId="494C72E8" w14:textId="6AE71247" w:rsidR="005A298C" w:rsidRDefault="009875D3" w:rsidP="00E763E8">
            <w:pPr>
              <w:spacing w:after="0" w:line="360" w:lineRule="auto"/>
              <w:rPr>
                <w:rFonts w:eastAsia="Calibri" w:cs="Arial"/>
              </w:rPr>
            </w:pPr>
            <w:r>
              <w:rPr>
                <w:rFonts w:eastAsia="Calibri" w:cs="Arial"/>
              </w:rPr>
              <w:t>Mirko Steinle</w:t>
            </w:r>
          </w:p>
          <w:p w14:paraId="19F8684E" w14:textId="5A521284" w:rsidR="005A298C" w:rsidRPr="004D147A" w:rsidRDefault="005A298C" w:rsidP="00D61CDA">
            <w:pPr>
              <w:rPr>
                <w:rFonts w:eastAsia="Calibri" w:cs="Arial"/>
                <w:sz w:val="18"/>
                <w:szCs w:val="18"/>
              </w:rPr>
            </w:pPr>
            <w:r>
              <w:rPr>
                <w:rFonts w:eastAsia="Calibri" w:cs="Arial"/>
                <w:sz w:val="18"/>
                <w:szCs w:val="18"/>
              </w:rPr>
              <w:t>Vorstand</w:t>
            </w:r>
            <w:r w:rsidR="009875D3">
              <w:rPr>
                <w:rFonts w:eastAsia="Calibri" w:cs="Arial"/>
                <w:sz w:val="18"/>
                <w:szCs w:val="18"/>
              </w:rPr>
              <w:t>svorsitzender</w:t>
            </w:r>
            <w:r>
              <w:rPr>
                <w:rFonts w:eastAsia="Calibri" w:cs="Arial"/>
                <w:sz w:val="18"/>
                <w:szCs w:val="18"/>
              </w:rPr>
              <w:t xml:space="preserve"> </w:t>
            </w:r>
            <w:proofErr w:type="spellStart"/>
            <w:r>
              <w:rPr>
                <w:rFonts w:eastAsia="Calibri" w:cs="Arial"/>
                <w:sz w:val="18"/>
                <w:szCs w:val="18"/>
              </w:rPr>
              <w:t>Sparbank</w:t>
            </w:r>
            <w:proofErr w:type="spellEnd"/>
            <w:r>
              <w:rPr>
                <w:rFonts w:eastAsia="Calibri" w:cs="Arial"/>
                <w:sz w:val="18"/>
                <w:szCs w:val="18"/>
              </w:rPr>
              <w:t> AG</w:t>
            </w:r>
          </w:p>
        </w:tc>
      </w:tr>
    </w:tbl>
    <w:tbl>
      <w:tblPr>
        <w:tblStyle w:val="Tabellenraster"/>
        <w:tblW w:w="0" w:type="auto"/>
        <w:tblLook w:val="04A0" w:firstRow="1" w:lastRow="0" w:firstColumn="1" w:lastColumn="0" w:noHBand="0" w:noVBand="1"/>
      </w:tblPr>
      <w:tblGrid>
        <w:gridCol w:w="9628"/>
      </w:tblGrid>
      <w:tr w:rsidR="005A298C" w14:paraId="18DB9CED" w14:textId="77777777" w:rsidTr="00D61CDA">
        <w:tc>
          <w:tcPr>
            <w:tcW w:w="9628" w:type="dxa"/>
          </w:tcPr>
          <w:p w14:paraId="3CE259E0" w14:textId="4CFAF916" w:rsidR="005A298C" w:rsidRDefault="005A298C" w:rsidP="006940BF">
            <w:pPr>
              <w:spacing w:before="240" w:after="240"/>
              <w:jc w:val="center"/>
              <w:rPr>
                <w:rFonts w:cs="Arial"/>
                <w:b/>
                <w:bCs/>
              </w:rPr>
            </w:pPr>
            <w:r>
              <w:rPr>
                <w:rFonts w:cs="Arial"/>
                <w:b/>
                <w:bCs/>
              </w:rPr>
              <w:lastRenderedPageBreak/>
              <w:t>Geldschöpfung der Geschäftsbanken</w:t>
            </w:r>
          </w:p>
          <w:p w14:paraId="529EC934" w14:textId="77777777" w:rsidR="005A298C" w:rsidRDefault="005A298C" w:rsidP="007C3A73">
            <w:pPr>
              <w:rPr>
                <w:rFonts w:cs="Arial"/>
              </w:rPr>
            </w:pPr>
            <w:r>
              <w:rPr>
                <w:rFonts w:cs="Arial"/>
              </w:rPr>
              <w:t>Ähnlich wie die Bibel in der Schöpfungsgeschichte (Genesis 1, 1-25) berichtet, dass Gott Himmel und Erde aus dem Nichts geschaffen hat, so schaffen Geschäftsbanken Buchgeld aus dem Nichts. Giralgeld wird also nicht geschöpft, wie manchmal zu lesen ist, also aus einem vorhandenen „Gefäß“ entnommen, sondern neu geschaffen, genauso wie in der Bibelerzählung Himmel und Erde nicht geschöpft, sondern neu geschaffen worden sind.</w:t>
            </w:r>
          </w:p>
          <w:p w14:paraId="3099C022" w14:textId="77777777" w:rsidR="005A298C" w:rsidRDefault="005A298C" w:rsidP="007C3A73">
            <w:pPr>
              <w:rPr>
                <w:rFonts w:cs="Arial"/>
              </w:rPr>
            </w:pPr>
          </w:p>
          <w:p w14:paraId="156CB5F1" w14:textId="69E64A92" w:rsidR="005A298C" w:rsidRDefault="005A298C" w:rsidP="007C3A73">
            <w:pPr>
              <w:rPr>
                <w:rFonts w:cs="Arial"/>
              </w:rPr>
            </w:pPr>
            <w:r>
              <w:rPr>
                <w:rFonts w:cs="Arial"/>
              </w:rPr>
              <w:t>Die Bibel berichtet auch, dass Gott am erst</w:t>
            </w:r>
            <w:r w:rsidR="00842CA9">
              <w:rPr>
                <w:rFonts w:cs="Arial"/>
              </w:rPr>
              <w:t>en Tag sprach: Es werde Licht (</w:t>
            </w:r>
            <w:r>
              <w:rPr>
                <w:rFonts w:cs="Arial"/>
              </w:rPr>
              <w:t xml:space="preserve">lateinisch: fiat </w:t>
            </w:r>
            <w:proofErr w:type="spellStart"/>
            <w:r>
              <w:rPr>
                <w:rFonts w:cs="Arial"/>
              </w:rPr>
              <w:t>lux</w:t>
            </w:r>
            <w:proofErr w:type="spellEnd"/>
            <w:r>
              <w:rPr>
                <w:rFonts w:cs="Arial"/>
              </w:rPr>
              <w:t>)</w:t>
            </w:r>
            <w:r w:rsidR="00842CA9">
              <w:rPr>
                <w:rFonts w:cs="Arial"/>
              </w:rPr>
              <w:t>!</w:t>
            </w:r>
            <w:r>
              <w:rPr>
                <w:rFonts w:cs="Arial"/>
              </w:rPr>
              <w:t xml:space="preserve"> Das von den Banken neu geschaffene Geld wird analog dazu als Fiat-Geld (englisch: Fiat Money) bezeichnet. Das hat also nichts mit dem Kauf eines italienischen Autos zu tun, jedenfalls nicht direkt. Es ist ein Imperativ: Es werde Geld! Und tatsächlich: Es wird Geld.</w:t>
            </w:r>
          </w:p>
          <w:p w14:paraId="068C8D03" w14:textId="77777777" w:rsidR="005A298C" w:rsidRDefault="005A298C" w:rsidP="007C3A73">
            <w:pPr>
              <w:rPr>
                <w:rFonts w:cs="Arial"/>
              </w:rPr>
            </w:pPr>
          </w:p>
          <w:p w14:paraId="590A50E1" w14:textId="77777777" w:rsidR="005A298C" w:rsidRDefault="005A298C" w:rsidP="007C3A73">
            <w:pPr>
              <w:rPr>
                <w:rFonts w:cs="Arial"/>
              </w:rPr>
            </w:pPr>
            <w:r>
              <w:rPr>
                <w:rFonts w:cs="Arial"/>
              </w:rPr>
              <w:t xml:space="preserve">Fiat-Geld gibt es (wieder) seit dem Ende der Nachkriegs-Weltfinanzordnung (System von </w:t>
            </w:r>
            <w:proofErr w:type="spellStart"/>
            <w:r>
              <w:rPr>
                <w:rFonts w:cs="Arial"/>
              </w:rPr>
              <w:t>Bretton</w:t>
            </w:r>
            <w:proofErr w:type="spellEnd"/>
            <w:r>
              <w:rPr>
                <w:rFonts w:cs="Arial"/>
              </w:rPr>
              <w:t xml:space="preserve"> Woods), das von US-Präsident Richard Nixon am 15.08.1971 faktisch verkündet wurde. Bis zu diesem Zeitpunkt war der US-Dollar mit einem festen Austauschverhältnis an Gold gebunden und zugleich waren zahlreiche Währungen einschließlich der Deutschen Mark mit einem festen Wechselkurs an den US-Dollar gebunden. Nach dem Ende von </w:t>
            </w:r>
            <w:proofErr w:type="spellStart"/>
            <w:r>
              <w:rPr>
                <w:rFonts w:cs="Arial"/>
              </w:rPr>
              <w:t>Bretton</w:t>
            </w:r>
            <w:proofErr w:type="spellEnd"/>
            <w:r>
              <w:rPr>
                <w:rFonts w:cs="Arial"/>
              </w:rPr>
              <w:t xml:space="preserve"> Woods gab es keinen metallischen Anker mehr für die Geldschöpfung.</w:t>
            </w:r>
          </w:p>
          <w:p w14:paraId="7BCDA8B1" w14:textId="77777777" w:rsidR="005A298C" w:rsidRDefault="005A298C" w:rsidP="007C3A73">
            <w:pPr>
              <w:rPr>
                <w:rFonts w:cs="Arial"/>
              </w:rPr>
            </w:pPr>
          </w:p>
          <w:p w14:paraId="1BCD9027" w14:textId="5C5B67E8" w:rsidR="005A298C" w:rsidRDefault="005A298C" w:rsidP="007C3A73">
            <w:pPr>
              <w:rPr>
                <w:rFonts w:cs="Arial"/>
              </w:rPr>
            </w:pPr>
            <w:r>
              <w:rPr>
                <w:rFonts w:cs="Arial"/>
              </w:rPr>
              <w:t xml:space="preserve">Viele Menschen glauben, dass eine Bank einen Kredit mit Mitteln auszahlt, die sie zuvor als Einlage von anderen </w:t>
            </w:r>
            <w:r w:rsidR="001222B1">
              <w:rPr>
                <w:rFonts w:cs="Arial"/>
              </w:rPr>
              <w:t xml:space="preserve">Kundinnen bzw. </w:t>
            </w:r>
            <w:r>
              <w:rPr>
                <w:rFonts w:cs="Arial"/>
              </w:rPr>
              <w:t xml:space="preserve">Kunden erhalten hat. Die Kreditvergabe ist aber das Ergebnis eines Buchungsvorgangs. Die Bank bucht „Darlehen an Kundenkontokorrentkonto“. </w:t>
            </w:r>
            <w:r w:rsidR="00FB5E9F">
              <w:rPr>
                <w:rFonts w:cs="Arial"/>
              </w:rPr>
              <w:t>Die Kundin bzw. der Kunde erhält auf dem</w:t>
            </w:r>
            <w:r>
              <w:rPr>
                <w:rFonts w:cs="Arial"/>
              </w:rPr>
              <w:t xml:space="preserve"> Girokonto die Gutschrift des Darlehensbetrags. Dieser Betrag wird zudem auf dem Darlehenskonto </w:t>
            </w:r>
            <w:r w:rsidR="00FB5E9F">
              <w:rPr>
                <w:rFonts w:cs="Arial"/>
              </w:rPr>
              <w:t xml:space="preserve">der Kundin bzw. </w:t>
            </w:r>
            <w:r>
              <w:rPr>
                <w:rFonts w:cs="Arial"/>
              </w:rPr>
              <w:t xml:space="preserve">des Kunden als Forderung der Bank gegenüber </w:t>
            </w:r>
            <w:r w:rsidR="00FB5E9F">
              <w:rPr>
                <w:rFonts w:cs="Arial"/>
              </w:rPr>
              <w:t xml:space="preserve">der Kundin bzw. </w:t>
            </w:r>
            <w:r>
              <w:rPr>
                <w:rFonts w:cs="Arial"/>
              </w:rPr>
              <w:t>dem Kund</w:t>
            </w:r>
            <w:r w:rsidR="00FB5E9F">
              <w:rPr>
                <w:rFonts w:cs="Arial"/>
              </w:rPr>
              <w:t>en gebucht.</w:t>
            </w:r>
          </w:p>
          <w:p w14:paraId="381FF9C4" w14:textId="77777777" w:rsidR="005A298C" w:rsidRDefault="005A298C" w:rsidP="007C3A73">
            <w:pPr>
              <w:rPr>
                <w:rFonts w:cs="Arial"/>
              </w:rPr>
            </w:pPr>
          </w:p>
          <w:p w14:paraId="3DBDA6A0" w14:textId="14ED8C7A" w:rsidR="005A298C" w:rsidRDefault="005A298C" w:rsidP="007C3A73">
            <w:pPr>
              <w:rPr>
                <w:rFonts w:cs="Arial"/>
              </w:rPr>
            </w:pPr>
            <w:r>
              <w:rPr>
                <w:rFonts w:cs="Arial"/>
              </w:rPr>
              <w:t xml:space="preserve">Durch einen Mausklick entsteht neues Geld (Fiat Money). Einlagen von anderen </w:t>
            </w:r>
            <w:r w:rsidR="00FB5E9F">
              <w:rPr>
                <w:rFonts w:cs="Arial"/>
              </w:rPr>
              <w:t xml:space="preserve">Kundinnen und </w:t>
            </w:r>
            <w:r>
              <w:rPr>
                <w:rFonts w:cs="Arial"/>
              </w:rPr>
              <w:t xml:space="preserve">Kunden sind für diese Kreditvergabe nicht erforderlich. Die Kreditvergabe der Geschäftsbanken ist in unserer Geldordnung keine Finanzintermediation, also die bloße Vermittlung zwischen Geldgeber und </w:t>
            </w:r>
            <w:r w:rsidRPr="00842CA9">
              <w:rPr>
                <w:rFonts w:cs="Arial"/>
              </w:rPr>
              <w:t>Kreditnehmer,</w:t>
            </w:r>
            <w:r>
              <w:rPr>
                <w:rFonts w:cs="Arial"/>
              </w:rPr>
              <w:t xml:space="preserve"> sondern sie ist </w:t>
            </w:r>
            <w:proofErr w:type="spellStart"/>
            <w:r>
              <w:rPr>
                <w:rFonts w:cs="Arial"/>
              </w:rPr>
              <w:t>Giralgeldschöpfung</w:t>
            </w:r>
            <w:proofErr w:type="spellEnd"/>
            <w:r w:rsidR="00F175CF">
              <w:rPr>
                <w:rFonts w:cs="Arial"/>
              </w:rPr>
              <w:t xml:space="preserve"> (= </w:t>
            </w:r>
            <w:r w:rsidR="00ED040E">
              <w:rPr>
                <w:rFonts w:cs="Arial"/>
              </w:rPr>
              <w:t>Buchgeldschöpfung)</w:t>
            </w:r>
            <w:r>
              <w:rPr>
                <w:rFonts w:cs="Arial"/>
              </w:rPr>
              <w:t xml:space="preserve">. Geschäftsbanken geben nicht die Einlagen anderer </w:t>
            </w:r>
            <w:r w:rsidR="00FB5E9F">
              <w:rPr>
                <w:rFonts w:cs="Arial"/>
              </w:rPr>
              <w:t xml:space="preserve">Kundinnen und </w:t>
            </w:r>
            <w:r>
              <w:rPr>
                <w:rFonts w:cs="Arial"/>
              </w:rPr>
              <w:t>Kunden als Kredit aus, sondern nehmen ihre Kreditvergabe durch die Schaffung neuen Geldes vor. Daher sind sie in diesem Zusammenhang nicht auf den Zufluss von Kundeneinlagen angewiesen. Sie schaffen diese Einlagen selbst, aus dem Nichts.</w:t>
            </w:r>
          </w:p>
          <w:p w14:paraId="2FAE1A79" w14:textId="77777777" w:rsidR="005A298C" w:rsidRDefault="005A298C" w:rsidP="007C3A73">
            <w:pPr>
              <w:rPr>
                <w:rFonts w:cs="Arial"/>
              </w:rPr>
            </w:pPr>
          </w:p>
          <w:p w14:paraId="453A5F56" w14:textId="1D3110CA" w:rsidR="005A298C" w:rsidRDefault="005A298C" w:rsidP="007C3A73">
            <w:pPr>
              <w:rPr>
                <w:rFonts w:cs="Arial"/>
              </w:rPr>
            </w:pPr>
            <w:r>
              <w:rPr>
                <w:rFonts w:cs="Arial"/>
              </w:rPr>
              <w:t xml:space="preserve">Geldschöpfung der Geschäftsbanken ist damit vorwiegend Kreditschöpfung. Eine weitere Möglichkeit der Geldschöpfung besteht darin, dass eine Bank von </w:t>
            </w:r>
            <w:r w:rsidR="00FB5E9F">
              <w:rPr>
                <w:rFonts w:cs="Arial"/>
              </w:rPr>
              <w:t xml:space="preserve">einer Kundin bzw. </w:t>
            </w:r>
            <w:r>
              <w:rPr>
                <w:rFonts w:cs="Arial"/>
              </w:rPr>
              <w:t xml:space="preserve">einem Kunden einen Vermögenswert ankauft und im Gegenzug den entsprechenden Betrag auf </w:t>
            </w:r>
            <w:r w:rsidR="00FB5E9F">
              <w:rPr>
                <w:rFonts w:cs="Arial"/>
              </w:rPr>
              <w:t xml:space="preserve">deren bzw. </w:t>
            </w:r>
            <w:r>
              <w:rPr>
                <w:rFonts w:cs="Arial"/>
              </w:rPr>
              <w:t>dessen Girokonto gutschreibt. Auch hierbei handelt es sich um neu geschaffenes Giralgeld.</w:t>
            </w:r>
          </w:p>
          <w:p w14:paraId="6B6835BD" w14:textId="77777777" w:rsidR="005A298C" w:rsidRDefault="005A298C" w:rsidP="007C3A73">
            <w:pPr>
              <w:rPr>
                <w:rFonts w:cs="Arial"/>
              </w:rPr>
            </w:pPr>
          </w:p>
          <w:p w14:paraId="17E28927" w14:textId="666FD0FA" w:rsidR="005A298C" w:rsidRDefault="005A298C" w:rsidP="007C3A73">
            <w:pPr>
              <w:rPr>
                <w:rFonts w:cs="Arial"/>
              </w:rPr>
            </w:pPr>
            <w:r>
              <w:rPr>
                <w:rFonts w:cs="Arial"/>
              </w:rPr>
              <w:t>Neues Giralgeld wird auch geschaffen, wen</w:t>
            </w:r>
            <w:r w:rsidR="00F175CF">
              <w:rPr>
                <w:rFonts w:cs="Arial"/>
              </w:rPr>
              <w:t>n Zahlungen aus dem Ausland (z. </w:t>
            </w:r>
            <w:r>
              <w:rPr>
                <w:rFonts w:cs="Arial"/>
              </w:rPr>
              <w:t>B. au</w:t>
            </w:r>
            <w:r w:rsidR="00ED040E">
              <w:rPr>
                <w:rFonts w:cs="Arial"/>
              </w:rPr>
              <w:t>fgrund von</w:t>
            </w:r>
            <w:r>
              <w:rPr>
                <w:rFonts w:cs="Arial"/>
              </w:rPr>
              <w:t xml:space="preserve"> Warenexporten oder Kapitalimporten) über inländische Banken abgewickelt werden. Letztere können auf diese Form der Buchgeldschöpfung keinerlei Einfluss nehmen.</w:t>
            </w:r>
          </w:p>
          <w:p w14:paraId="68B44973" w14:textId="77777777" w:rsidR="005A298C" w:rsidRDefault="005A298C" w:rsidP="007C3A73">
            <w:pPr>
              <w:rPr>
                <w:rFonts w:cs="Arial"/>
              </w:rPr>
            </w:pPr>
          </w:p>
          <w:p w14:paraId="6772A807" w14:textId="57A097C8" w:rsidR="005A298C" w:rsidRDefault="005A298C" w:rsidP="007C3A73">
            <w:pPr>
              <w:rPr>
                <w:rFonts w:cs="Arial"/>
              </w:rPr>
            </w:pPr>
            <w:r>
              <w:rPr>
                <w:rFonts w:cs="Arial"/>
              </w:rPr>
              <w:t>Demgegenüber entsteht Giralgeld zwar auch, wenn ein</w:t>
            </w:r>
            <w:r w:rsidR="00FB5E9F">
              <w:rPr>
                <w:rFonts w:cs="Arial"/>
              </w:rPr>
              <w:t>e Bankkundin bzw. ein</w:t>
            </w:r>
            <w:r>
              <w:rPr>
                <w:rFonts w:cs="Arial"/>
              </w:rPr>
              <w:t xml:space="preserve"> Bankkunde Bargeld auf </w:t>
            </w:r>
            <w:r w:rsidR="00FB5E9F">
              <w:rPr>
                <w:rFonts w:cs="Arial"/>
              </w:rPr>
              <w:t xml:space="preserve">ihr bzw. </w:t>
            </w:r>
            <w:r>
              <w:rPr>
                <w:rFonts w:cs="Arial"/>
              </w:rPr>
              <w:t>sein Konto einzahlt. Bargeld war aber ursprünglich einmal Giralgeld, das in bar ausgezahlt wurde. Die Geldmenge ändert sich durch diese Einzahlung nicht. Es entsteht hier kein zusätzliches Giralgeld</w:t>
            </w:r>
            <w:r w:rsidR="00ED040E">
              <w:rPr>
                <w:rFonts w:cs="Arial"/>
              </w:rPr>
              <w:t>.</w:t>
            </w:r>
          </w:p>
          <w:p w14:paraId="34A4F9EC" w14:textId="77777777" w:rsidR="005A298C" w:rsidRDefault="005A298C" w:rsidP="007C3A73">
            <w:pPr>
              <w:rPr>
                <w:rFonts w:cs="Arial"/>
              </w:rPr>
            </w:pPr>
          </w:p>
          <w:p w14:paraId="73B97CB4" w14:textId="072DFDD1" w:rsidR="006940BF" w:rsidRDefault="005A298C" w:rsidP="007C3A73">
            <w:pPr>
              <w:rPr>
                <w:rFonts w:cs="Arial"/>
              </w:rPr>
            </w:pPr>
            <w:r>
              <w:rPr>
                <w:rFonts w:cs="Arial"/>
              </w:rPr>
              <w:t>Spiegelbildlich zu den obigen Beispielen wird Buchgeld vernichtet und</w:t>
            </w:r>
            <w:r w:rsidR="00363605">
              <w:rPr>
                <w:rFonts w:cs="Arial"/>
              </w:rPr>
              <w:t xml:space="preserve"> damit die Geldmenge verringert</w:t>
            </w:r>
          </w:p>
          <w:p w14:paraId="0ACBC4FC" w14:textId="7C3C7914" w:rsidR="005A298C" w:rsidRDefault="005A298C" w:rsidP="00363605">
            <w:pPr>
              <w:pStyle w:val="Listenabsatz"/>
              <w:numPr>
                <w:ilvl w:val="0"/>
                <w:numId w:val="13"/>
              </w:numPr>
              <w:ind w:left="454" w:hanging="283"/>
              <w:rPr>
                <w:rFonts w:cs="Arial"/>
              </w:rPr>
            </w:pPr>
            <w:r w:rsidRPr="00E40773">
              <w:rPr>
                <w:rFonts w:cs="Arial"/>
              </w:rPr>
              <w:t>be</w:t>
            </w:r>
            <w:r w:rsidR="006940BF">
              <w:rPr>
                <w:rFonts w:cs="Arial"/>
              </w:rPr>
              <w:t>i der Tilgung von Bankkrediten,</w:t>
            </w:r>
          </w:p>
          <w:p w14:paraId="4650B2BD" w14:textId="30C23D6F" w:rsidR="005A298C" w:rsidRDefault="005A298C" w:rsidP="00363605">
            <w:pPr>
              <w:pStyle w:val="Listenabsatz"/>
              <w:numPr>
                <w:ilvl w:val="0"/>
                <w:numId w:val="13"/>
              </w:numPr>
              <w:ind w:left="454" w:hanging="283"/>
              <w:rPr>
                <w:rFonts w:cs="Arial"/>
              </w:rPr>
            </w:pPr>
            <w:r>
              <w:rPr>
                <w:rFonts w:cs="Arial"/>
              </w:rPr>
              <w:t xml:space="preserve">bei </w:t>
            </w:r>
            <w:r w:rsidRPr="00E40773">
              <w:rPr>
                <w:rFonts w:cs="Arial"/>
              </w:rPr>
              <w:t xml:space="preserve">dem Verkauf von Bankaktiva </w:t>
            </w:r>
            <w:r w:rsidR="00F175CF">
              <w:rPr>
                <w:rFonts w:cs="Arial"/>
              </w:rPr>
              <w:t>(z. </w:t>
            </w:r>
            <w:r w:rsidR="00ED040E">
              <w:rPr>
                <w:rFonts w:cs="Arial"/>
              </w:rPr>
              <w:t xml:space="preserve">B. Wertpapiere aus dem Bestand) </w:t>
            </w:r>
            <w:r w:rsidRPr="00E40773">
              <w:rPr>
                <w:rFonts w:cs="Arial"/>
              </w:rPr>
              <w:t xml:space="preserve">an </w:t>
            </w:r>
            <w:r w:rsidR="00FB5E9F">
              <w:rPr>
                <w:rFonts w:cs="Arial"/>
              </w:rPr>
              <w:t xml:space="preserve">Kundinnen und </w:t>
            </w:r>
            <w:r w:rsidR="006940BF">
              <w:rPr>
                <w:rFonts w:cs="Arial"/>
              </w:rPr>
              <w:t>Kunden sowie</w:t>
            </w:r>
          </w:p>
          <w:p w14:paraId="1B75FF9B" w14:textId="41D263EB" w:rsidR="00F27DEC" w:rsidRPr="00363605" w:rsidRDefault="005A298C" w:rsidP="00363605">
            <w:pPr>
              <w:pStyle w:val="Listenabsatz"/>
              <w:numPr>
                <w:ilvl w:val="0"/>
                <w:numId w:val="13"/>
              </w:numPr>
              <w:ind w:left="454" w:hanging="283"/>
              <w:rPr>
                <w:rFonts w:cs="Arial"/>
              </w:rPr>
            </w:pPr>
            <w:r w:rsidRPr="00041BFF">
              <w:rPr>
                <w:rFonts w:cs="Arial"/>
              </w:rPr>
              <w:t xml:space="preserve">durch </w:t>
            </w:r>
            <w:r w:rsidR="00F175CF">
              <w:rPr>
                <w:rFonts w:cs="Arial"/>
              </w:rPr>
              <w:t>Zahlungen an das Ausland (z. </w:t>
            </w:r>
            <w:r w:rsidR="00ED040E" w:rsidRPr="00041BFF">
              <w:rPr>
                <w:rFonts w:cs="Arial"/>
              </w:rPr>
              <w:t xml:space="preserve">B. </w:t>
            </w:r>
            <w:r w:rsidR="00041BFF" w:rsidRPr="00041BFF">
              <w:rPr>
                <w:rFonts w:cs="Arial"/>
              </w:rPr>
              <w:t>aufgrund von</w:t>
            </w:r>
            <w:r w:rsidR="00ED040E" w:rsidRPr="00041BFF">
              <w:rPr>
                <w:rFonts w:cs="Arial"/>
              </w:rPr>
              <w:t xml:space="preserve"> </w:t>
            </w:r>
            <w:r w:rsidRPr="00041BFF">
              <w:rPr>
                <w:rFonts w:cs="Arial"/>
              </w:rPr>
              <w:t>Warenimporte</w:t>
            </w:r>
            <w:r w:rsidR="00ED040E" w:rsidRPr="00041BFF">
              <w:rPr>
                <w:rFonts w:cs="Arial"/>
              </w:rPr>
              <w:t>n</w:t>
            </w:r>
            <w:r w:rsidR="00363605">
              <w:rPr>
                <w:rFonts w:cs="Arial"/>
              </w:rPr>
              <w:t xml:space="preserve"> oder </w:t>
            </w:r>
            <w:r w:rsidRPr="00041BFF">
              <w:rPr>
                <w:rFonts w:cs="Arial"/>
              </w:rPr>
              <w:t>Kapita</w:t>
            </w:r>
            <w:r w:rsidR="00ED040E" w:rsidRPr="00041BFF">
              <w:rPr>
                <w:rFonts w:cs="Arial"/>
              </w:rPr>
              <w:t>lexporten)</w:t>
            </w:r>
            <w:r w:rsidRPr="00041BFF">
              <w:rPr>
                <w:rFonts w:cs="Arial"/>
              </w:rPr>
              <w:t>.</w:t>
            </w:r>
          </w:p>
        </w:tc>
      </w:tr>
      <w:tr w:rsidR="005A298C" w14:paraId="72B0AE9C" w14:textId="77777777" w:rsidTr="00D61CDA">
        <w:tc>
          <w:tcPr>
            <w:tcW w:w="9628" w:type="dxa"/>
            <w:shd w:val="clear" w:color="auto" w:fill="auto"/>
          </w:tcPr>
          <w:p w14:paraId="3AA8009B" w14:textId="47FDE9AB" w:rsidR="005A298C" w:rsidRPr="00736571" w:rsidRDefault="005A298C" w:rsidP="006940BF">
            <w:pPr>
              <w:spacing w:before="240" w:after="240"/>
              <w:jc w:val="center"/>
              <w:rPr>
                <w:b/>
                <w:bCs/>
              </w:rPr>
            </w:pPr>
            <w:r>
              <w:lastRenderedPageBreak/>
              <w:br w:type="page"/>
            </w:r>
            <w:r w:rsidRPr="00736571">
              <w:rPr>
                <w:rFonts w:cs="Arial"/>
                <w:b/>
                <w:bCs/>
              </w:rPr>
              <w:t xml:space="preserve">Buchungstechnische Darstellung der </w:t>
            </w:r>
            <w:proofErr w:type="spellStart"/>
            <w:r w:rsidRPr="00736571">
              <w:rPr>
                <w:rFonts w:cs="Arial"/>
                <w:b/>
                <w:bCs/>
              </w:rPr>
              <w:t>G</w:t>
            </w:r>
            <w:r>
              <w:rPr>
                <w:rFonts w:cs="Arial"/>
                <w:b/>
                <w:bCs/>
              </w:rPr>
              <w:t>iralg</w:t>
            </w:r>
            <w:r w:rsidRPr="00736571">
              <w:rPr>
                <w:rFonts w:cs="Arial"/>
                <w:b/>
                <w:bCs/>
              </w:rPr>
              <w:t>eldschöpfung</w:t>
            </w:r>
            <w:proofErr w:type="spellEnd"/>
            <w:r>
              <w:rPr>
                <w:rFonts w:cs="Arial"/>
                <w:b/>
                <w:bCs/>
              </w:rPr>
              <w:t xml:space="preserve"> durch Kreditvergabe</w:t>
            </w:r>
          </w:p>
          <w:p w14:paraId="6797ECC7" w14:textId="6ABB12C3" w:rsidR="005A298C" w:rsidRDefault="006940BF" w:rsidP="007C3A73">
            <w:pPr>
              <w:rPr>
                <w:rFonts w:cs="Arial"/>
              </w:rPr>
            </w:pPr>
            <w:r>
              <w:rPr>
                <w:rFonts w:cs="Arial"/>
              </w:rPr>
              <w:t>Beispiel:</w:t>
            </w:r>
          </w:p>
          <w:p w14:paraId="25CBBD6D" w14:textId="77777777" w:rsidR="00F175CF" w:rsidRDefault="00F175CF" w:rsidP="007C3A73">
            <w:pPr>
              <w:rPr>
                <w:rFonts w:cs="Arial"/>
              </w:rPr>
            </w:pPr>
          </w:p>
          <w:p w14:paraId="4A637731" w14:textId="05985B03" w:rsidR="005A298C" w:rsidRDefault="00B15C4A" w:rsidP="007C3A73">
            <w:pPr>
              <w:rPr>
                <w:rFonts w:cs="Arial"/>
              </w:rPr>
            </w:pPr>
            <w:r>
              <w:rPr>
                <w:rFonts w:cs="Arial"/>
              </w:rPr>
              <w:t xml:space="preserve">Die </w:t>
            </w:r>
            <w:proofErr w:type="spellStart"/>
            <w:r>
              <w:rPr>
                <w:rFonts w:cs="Arial"/>
              </w:rPr>
              <w:t>Sparbank</w:t>
            </w:r>
            <w:proofErr w:type="spellEnd"/>
            <w:r>
              <w:rPr>
                <w:rFonts w:cs="Arial"/>
              </w:rPr>
              <w:t> </w:t>
            </w:r>
            <w:r w:rsidR="005A298C">
              <w:rPr>
                <w:rFonts w:cs="Arial"/>
              </w:rPr>
              <w:t xml:space="preserve">AG gewährt ihrem Kunden Kurt Meyer </w:t>
            </w:r>
            <w:r w:rsidR="00BD45FF">
              <w:rPr>
                <w:rFonts w:cs="Arial"/>
              </w:rPr>
              <w:t>einen Kredit in Höhe von 20.000 </w:t>
            </w:r>
            <w:r w:rsidR="00912F3F">
              <w:rPr>
                <w:rFonts w:cs="Arial"/>
              </w:rPr>
              <w:t>Euro</w:t>
            </w:r>
            <w:r w:rsidR="006940BF">
              <w:rPr>
                <w:rFonts w:cs="Arial"/>
              </w:rPr>
              <w:t>.</w:t>
            </w:r>
          </w:p>
          <w:p w14:paraId="64E07807" w14:textId="77777777" w:rsidR="005A298C" w:rsidRDefault="005A298C" w:rsidP="007C3A73">
            <w:pPr>
              <w:rPr>
                <w:rFonts w:cs="Arial"/>
              </w:rPr>
            </w:pPr>
          </w:p>
          <w:p w14:paraId="12698D98" w14:textId="787EE1E7" w:rsidR="005A298C" w:rsidRDefault="005A298C" w:rsidP="007C3A73">
            <w:pPr>
              <w:rPr>
                <w:rFonts w:cs="Arial"/>
              </w:rPr>
            </w:pPr>
            <w:r>
              <w:rPr>
                <w:rFonts w:cs="Arial"/>
              </w:rPr>
              <w:t xml:space="preserve">Folgende Auswirkungen sind bei den Bilanzen </w:t>
            </w:r>
            <w:r w:rsidR="00B15C4A">
              <w:rPr>
                <w:rFonts w:cs="Arial"/>
              </w:rPr>
              <w:t xml:space="preserve">von Kurt Meyer und der </w:t>
            </w:r>
            <w:proofErr w:type="spellStart"/>
            <w:r w:rsidR="00B15C4A">
              <w:rPr>
                <w:rFonts w:cs="Arial"/>
              </w:rPr>
              <w:t>Sparbank</w:t>
            </w:r>
            <w:proofErr w:type="spellEnd"/>
            <w:r w:rsidR="00B15C4A">
              <w:rPr>
                <w:rFonts w:cs="Arial"/>
              </w:rPr>
              <w:t> </w:t>
            </w:r>
            <w:r>
              <w:rPr>
                <w:rFonts w:cs="Arial"/>
              </w:rPr>
              <w:t>AG infolge der Kreditvergabe festzustellen:</w:t>
            </w:r>
          </w:p>
          <w:p w14:paraId="53EB199F" w14:textId="56B36A1C" w:rsidR="005A298C" w:rsidRDefault="005A298C" w:rsidP="007C3A73">
            <w:pPr>
              <w:rPr>
                <w:rFonts w:cs="Arial"/>
              </w:rPr>
            </w:pPr>
          </w:p>
          <w:tbl>
            <w:tblPr>
              <w:tblW w:w="9236" w:type="dxa"/>
              <w:tblCellMar>
                <w:left w:w="70" w:type="dxa"/>
                <w:right w:w="70" w:type="dxa"/>
              </w:tblCellMar>
              <w:tblLook w:val="04A0" w:firstRow="1" w:lastRow="0" w:firstColumn="1" w:lastColumn="0" w:noHBand="0" w:noVBand="1"/>
            </w:tblPr>
            <w:tblGrid>
              <w:gridCol w:w="1043"/>
              <w:gridCol w:w="397"/>
              <w:gridCol w:w="850"/>
              <w:gridCol w:w="1276"/>
              <w:gridCol w:w="142"/>
              <w:gridCol w:w="850"/>
              <w:gridCol w:w="284"/>
              <w:gridCol w:w="992"/>
              <w:gridCol w:w="425"/>
              <w:gridCol w:w="709"/>
              <w:gridCol w:w="1346"/>
              <w:gridCol w:w="54"/>
              <w:gridCol w:w="868"/>
            </w:tblGrid>
            <w:tr w:rsidR="00D61CDA" w:rsidRPr="00813E47" w14:paraId="4B934117" w14:textId="77777777" w:rsidTr="00CD6982">
              <w:trPr>
                <w:trHeight w:val="315"/>
              </w:trPr>
              <w:tc>
                <w:tcPr>
                  <w:tcW w:w="1043" w:type="dxa"/>
                  <w:tcBorders>
                    <w:top w:val="nil"/>
                    <w:left w:val="nil"/>
                    <w:bottom w:val="single" w:sz="8" w:space="0" w:color="auto"/>
                    <w:right w:val="nil"/>
                  </w:tcBorders>
                  <w:shd w:val="clear" w:color="auto" w:fill="auto"/>
                  <w:noWrap/>
                  <w:vAlign w:val="bottom"/>
                  <w:hideMark/>
                </w:tcPr>
                <w:p w14:paraId="7D42DCAC" w14:textId="77777777" w:rsidR="005A298C" w:rsidRPr="00813E47" w:rsidRDefault="005A298C" w:rsidP="007C3A73">
                  <w:pPr>
                    <w:rPr>
                      <w:rFonts w:cs="Arial"/>
                      <w:color w:val="000000"/>
                      <w:sz w:val="18"/>
                      <w:szCs w:val="18"/>
                    </w:rPr>
                  </w:pPr>
                  <w:r>
                    <w:rPr>
                      <w:rFonts w:cs="Arial"/>
                      <w:color w:val="000000"/>
                      <w:sz w:val="18"/>
                      <w:szCs w:val="18"/>
                    </w:rPr>
                    <w:t>Aktiva</w:t>
                  </w:r>
                </w:p>
              </w:tc>
              <w:tc>
                <w:tcPr>
                  <w:tcW w:w="2523" w:type="dxa"/>
                  <w:gridSpan w:val="3"/>
                  <w:tcBorders>
                    <w:top w:val="nil"/>
                    <w:left w:val="nil"/>
                    <w:bottom w:val="single" w:sz="8" w:space="0" w:color="auto"/>
                    <w:right w:val="nil"/>
                  </w:tcBorders>
                  <w:shd w:val="clear" w:color="auto" w:fill="auto"/>
                  <w:noWrap/>
                  <w:vAlign w:val="bottom"/>
                  <w:hideMark/>
                </w:tcPr>
                <w:p w14:paraId="10F788B7" w14:textId="77777777" w:rsidR="005A298C" w:rsidRDefault="005A298C" w:rsidP="00912F3F">
                  <w:pPr>
                    <w:spacing w:after="0" w:line="240" w:lineRule="auto"/>
                    <w:jc w:val="center"/>
                    <w:rPr>
                      <w:rFonts w:cs="Arial"/>
                      <w:color w:val="000000"/>
                      <w:sz w:val="18"/>
                      <w:szCs w:val="18"/>
                    </w:rPr>
                  </w:pPr>
                  <w:r>
                    <w:rPr>
                      <w:rFonts w:cs="Arial"/>
                      <w:color w:val="000000"/>
                      <w:sz w:val="18"/>
                      <w:szCs w:val="18"/>
                    </w:rPr>
                    <w:t>Kurt Meyer</w:t>
                  </w:r>
                </w:p>
                <w:p w14:paraId="0918B29E" w14:textId="138DDCB4" w:rsidR="00912F3F" w:rsidRPr="00813E47" w:rsidRDefault="00912F3F" w:rsidP="00912F3F">
                  <w:pPr>
                    <w:spacing w:after="0" w:line="240" w:lineRule="auto"/>
                    <w:jc w:val="center"/>
                    <w:rPr>
                      <w:rFonts w:cs="Arial"/>
                      <w:color w:val="000000"/>
                      <w:sz w:val="18"/>
                      <w:szCs w:val="18"/>
                    </w:rPr>
                  </w:pPr>
                  <w:r>
                    <w:rPr>
                      <w:rFonts w:cs="Arial"/>
                      <w:color w:val="000000"/>
                      <w:sz w:val="18"/>
                      <w:szCs w:val="18"/>
                    </w:rPr>
                    <w:t>(in EUR)</w:t>
                  </w:r>
                </w:p>
              </w:tc>
              <w:tc>
                <w:tcPr>
                  <w:tcW w:w="992" w:type="dxa"/>
                  <w:gridSpan w:val="2"/>
                  <w:tcBorders>
                    <w:top w:val="nil"/>
                    <w:left w:val="nil"/>
                    <w:bottom w:val="single" w:sz="8" w:space="0" w:color="auto"/>
                    <w:right w:val="nil"/>
                  </w:tcBorders>
                  <w:shd w:val="clear" w:color="auto" w:fill="auto"/>
                  <w:noWrap/>
                  <w:vAlign w:val="bottom"/>
                  <w:hideMark/>
                </w:tcPr>
                <w:p w14:paraId="1388FBE4" w14:textId="77777777" w:rsidR="005A298C" w:rsidRPr="00813E47" w:rsidRDefault="005A298C" w:rsidP="007C3A73">
                  <w:pPr>
                    <w:jc w:val="right"/>
                    <w:rPr>
                      <w:rFonts w:cs="Arial"/>
                      <w:color w:val="000000"/>
                      <w:sz w:val="18"/>
                      <w:szCs w:val="18"/>
                    </w:rPr>
                  </w:pPr>
                  <w:r>
                    <w:rPr>
                      <w:rFonts w:cs="Arial"/>
                      <w:color w:val="000000"/>
                      <w:sz w:val="18"/>
                      <w:szCs w:val="18"/>
                    </w:rPr>
                    <w:t>Passiva</w:t>
                  </w:r>
                </w:p>
              </w:tc>
              <w:tc>
                <w:tcPr>
                  <w:tcW w:w="284" w:type="dxa"/>
                  <w:tcBorders>
                    <w:top w:val="nil"/>
                    <w:left w:val="nil"/>
                    <w:bottom w:val="nil"/>
                    <w:right w:val="nil"/>
                  </w:tcBorders>
                  <w:shd w:val="clear" w:color="auto" w:fill="auto"/>
                  <w:noWrap/>
                  <w:vAlign w:val="bottom"/>
                  <w:hideMark/>
                </w:tcPr>
                <w:p w14:paraId="09341EEA" w14:textId="77777777" w:rsidR="005A298C" w:rsidRPr="00813E47" w:rsidRDefault="005A298C" w:rsidP="007C3A73">
                  <w:pPr>
                    <w:jc w:val="right"/>
                    <w:rPr>
                      <w:rFonts w:cs="Arial"/>
                      <w:color w:val="000000"/>
                      <w:sz w:val="18"/>
                      <w:szCs w:val="18"/>
                    </w:rPr>
                  </w:pPr>
                </w:p>
              </w:tc>
              <w:tc>
                <w:tcPr>
                  <w:tcW w:w="992" w:type="dxa"/>
                  <w:tcBorders>
                    <w:top w:val="nil"/>
                    <w:left w:val="nil"/>
                    <w:bottom w:val="single" w:sz="8" w:space="0" w:color="auto"/>
                    <w:right w:val="nil"/>
                  </w:tcBorders>
                  <w:shd w:val="clear" w:color="auto" w:fill="auto"/>
                  <w:noWrap/>
                  <w:vAlign w:val="bottom"/>
                  <w:hideMark/>
                </w:tcPr>
                <w:p w14:paraId="2F92BC9E" w14:textId="77777777" w:rsidR="005A298C" w:rsidRPr="00813E47" w:rsidRDefault="005A298C" w:rsidP="007C3A73">
                  <w:pPr>
                    <w:rPr>
                      <w:rFonts w:cs="Arial"/>
                      <w:color w:val="000000"/>
                      <w:sz w:val="18"/>
                      <w:szCs w:val="18"/>
                    </w:rPr>
                  </w:pPr>
                  <w:r>
                    <w:rPr>
                      <w:rFonts w:cs="Arial"/>
                      <w:color w:val="000000"/>
                      <w:sz w:val="18"/>
                      <w:szCs w:val="18"/>
                    </w:rPr>
                    <w:t>Aktiva</w:t>
                  </w:r>
                </w:p>
              </w:tc>
              <w:tc>
                <w:tcPr>
                  <w:tcW w:w="2480" w:type="dxa"/>
                  <w:gridSpan w:val="3"/>
                  <w:tcBorders>
                    <w:top w:val="nil"/>
                    <w:left w:val="nil"/>
                    <w:bottom w:val="single" w:sz="8" w:space="0" w:color="auto"/>
                    <w:right w:val="nil"/>
                  </w:tcBorders>
                  <w:shd w:val="clear" w:color="auto" w:fill="auto"/>
                  <w:noWrap/>
                  <w:vAlign w:val="bottom"/>
                  <w:hideMark/>
                </w:tcPr>
                <w:p w14:paraId="5FC5ACF2" w14:textId="77777777" w:rsidR="005A298C" w:rsidRDefault="005A298C" w:rsidP="00912F3F">
                  <w:pPr>
                    <w:spacing w:after="0" w:line="240" w:lineRule="auto"/>
                    <w:jc w:val="center"/>
                    <w:rPr>
                      <w:rFonts w:cs="Arial"/>
                      <w:sz w:val="18"/>
                      <w:szCs w:val="18"/>
                    </w:rPr>
                  </w:pPr>
                  <w:proofErr w:type="spellStart"/>
                  <w:r>
                    <w:rPr>
                      <w:rFonts w:cs="Arial"/>
                      <w:sz w:val="18"/>
                      <w:szCs w:val="18"/>
                    </w:rPr>
                    <w:t>Sparbank</w:t>
                  </w:r>
                  <w:proofErr w:type="spellEnd"/>
                  <w:r>
                    <w:rPr>
                      <w:rFonts w:cs="Arial"/>
                      <w:sz w:val="18"/>
                      <w:szCs w:val="18"/>
                    </w:rPr>
                    <w:t xml:space="preserve"> AG</w:t>
                  </w:r>
                </w:p>
                <w:p w14:paraId="2B5AC96C" w14:textId="7581B0D2" w:rsidR="00912F3F" w:rsidRPr="00813E47" w:rsidRDefault="00912F3F" w:rsidP="00912F3F">
                  <w:pPr>
                    <w:spacing w:after="0" w:line="240" w:lineRule="auto"/>
                    <w:jc w:val="center"/>
                    <w:rPr>
                      <w:rFonts w:cs="Arial"/>
                      <w:color w:val="000000"/>
                      <w:sz w:val="18"/>
                      <w:szCs w:val="18"/>
                    </w:rPr>
                  </w:pPr>
                  <w:r>
                    <w:rPr>
                      <w:rFonts w:cs="Arial"/>
                      <w:color w:val="000000"/>
                      <w:sz w:val="18"/>
                      <w:szCs w:val="18"/>
                    </w:rPr>
                    <w:t>(in EUR)</w:t>
                  </w:r>
                </w:p>
              </w:tc>
              <w:tc>
                <w:tcPr>
                  <w:tcW w:w="922" w:type="dxa"/>
                  <w:gridSpan w:val="2"/>
                  <w:tcBorders>
                    <w:top w:val="nil"/>
                    <w:left w:val="nil"/>
                    <w:bottom w:val="single" w:sz="8" w:space="0" w:color="auto"/>
                    <w:right w:val="nil"/>
                  </w:tcBorders>
                  <w:shd w:val="clear" w:color="auto" w:fill="auto"/>
                  <w:noWrap/>
                  <w:vAlign w:val="bottom"/>
                  <w:hideMark/>
                </w:tcPr>
                <w:p w14:paraId="54EE0DC6" w14:textId="77777777" w:rsidR="005A298C" w:rsidRPr="00813E47" w:rsidRDefault="005A298C" w:rsidP="007C3A73">
                  <w:pPr>
                    <w:jc w:val="right"/>
                    <w:rPr>
                      <w:rFonts w:cs="Arial"/>
                      <w:color w:val="000000"/>
                      <w:sz w:val="18"/>
                      <w:szCs w:val="18"/>
                    </w:rPr>
                  </w:pPr>
                  <w:r>
                    <w:rPr>
                      <w:rFonts w:cs="Arial"/>
                      <w:color w:val="000000"/>
                      <w:sz w:val="18"/>
                      <w:szCs w:val="18"/>
                    </w:rPr>
                    <w:t>Passiva</w:t>
                  </w:r>
                </w:p>
              </w:tc>
            </w:tr>
            <w:tr w:rsidR="00D61CDA" w:rsidRPr="00813E47" w14:paraId="073BE5D6" w14:textId="77777777" w:rsidTr="00CD6982">
              <w:trPr>
                <w:trHeight w:val="300"/>
              </w:trPr>
              <w:tc>
                <w:tcPr>
                  <w:tcW w:w="1440" w:type="dxa"/>
                  <w:gridSpan w:val="2"/>
                  <w:tcBorders>
                    <w:top w:val="nil"/>
                    <w:left w:val="nil"/>
                    <w:bottom w:val="nil"/>
                    <w:right w:val="nil"/>
                  </w:tcBorders>
                  <w:shd w:val="clear" w:color="auto" w:fill="auto"/>
                  <w:noWrap/>
                </w:tcPr>
                <w:p w14:paraId="4186D604" w14:textId="77777777" w:rsidR="00CD6982" w:rsidRDefault="00CD6982" w:rsidP="00CD6982">
                  <w:pPr>
                    <w:spacing w:after="0"/>
                    <w:rPr>
                      <w:rFonts w:cs="Arial"/>
                      <w:sz w:val="18"/>
                      <w:szCs w:val="18"/>
                    </w:rPr>
                  </w:pPr>
                </w:p>
                <w:p w14:paraId="05616EC7" w14:textId="77777777" w:rsidR="00CD6982" w:rsidRDefault="00CD6982" w:rsidP="00CD6982">
                  <w:pPr>
                    <w:spacing w:after="0"/>
                    <w:rPr>
                      <w:rFonts w:cs="Arial"/>
                      <w:sz w:val="18"/>
                      <w:szCs w:val="18"/>
                    </w:rPr>
                  </w:pPr>
                </w:p>
                <w:p w14:paraId="6B34F93A" w14:textId="57AF912E" w:rsidR="005A298C" w:rsidRDefault="005A298C" w:rsidP="00CD6982">
                  <w:pPr>
                    <w:spacing w:after="0"/>
                    <w:rPr>
                      <w:rFonts w:cs="Arial"/>
                      <w:sz w:val="18"/>
                      <w:szCs w:val="18"/>
                    </w:rPr>
                  </w:pPr>
                  <w:r>
                    <w:rPr>
                      <w:rFonts w:cs="Arial"/>
                      <w:sz w:val="18"/>
                      <w:szCs w:val="18"/>
                    </w:rPr>
                    <w:t>Sicht</w:t>
                  </w:r>
                  <w:r w:rsidR="00D61CDA">
                    <w:rPr>
                      <w:rFonts w:cs="Arial"/>
                      <w:sz w:val="18"/>
                      <w:szCs w:val="18"/>
                    </w:rPr>
                    <w:t xml:space="preserve">einlage bei </w:t>
                  </w:r>
                  <w:r w:rsidR="00D61CDA">
                    <w:rPr>
                      <w:rFonts w:cs="Arial"/>
                      <w:sz w:val="18"/>
                      <w:szCs w:val="18"/>
                    </w:rPr>
                    <w:br/>
                    <w:t xml:space="preserve">der </w:t>
                  </w:r>
                  <w:proofErr w:type="spellStart"/>
                  <w:r w:rsidR="00D61CDA">
                    <w:rPr>
                      <w:rFonts w:cs="Arial"/>
                      <w:sz w:val="18"/>
                      <w:szCs w:val="18"/>
                    </w:rPr>
                    <w:t>Sparbank</w:t>
                  </w:r>
                  <w:proofErr w:type="spellEnd"/>
                </w:p>
                <w:p w14:paraId="6A4A1928" w14:textId="77777777" w:rsidR="005A298C" w:rsidRPr="00E0513E" w:rsidRDefault="005A298C" w:rsidP="00CD6982">
                  <w:pPr>
                    <w:spacing w:after="0"/>
                    <w:rPr>
                      <w:rFonts w:cs="Arial"/>
                      <w:sz w:val="18"/>
                      <w:szCs w:val="18"/>
                    </w:rPr>
                  </w:pPr>
                </w:p>
              </w:tc>
              <w:tc>
                <w:tcPr>
                  <w:tcW w:w="850" w:type="dxa"/>
                  <w:tcBorders>
                    <w:top w:val="nil"/>
                    <w:left w:val="nil"/>
                    <w:bottom w:val="nil"/>
                    <w:right w:val="single" w:sz="4" w:space="0" w:color="auto"/>
                  </w:tcBorders>
                  <w:shd w:val="clear" w:color="auto" w:fill="auto"/>
                  <w:noWrap/>
                </w:tcPr>
                <w:p w14:paraId="539B894B" w14:textId="77777777" w:rsidR="00D61CDA" w:rsidRDefault="00D61CDA" w:rsidP="00CD6982">
                  <w:pPr>
                    <w:spacing w:after="0"/>
                    <w:jc w:val="right"/>
                    <w:rPr>
                      <w:rFonts w:cs="Arial"/>
                      <w:sz w:val="18"/>
                      <w:szCs w:val="18"/>
                    </w:rPr>
                  </w:pPr>
                </w:p>
                <w:p w14:paraId="3846F05C" w14:textId="77777777" w:rsidR="00CD6982" w:rsidRDefault="00CD6982" w:rsidP="00CD6982">
                  <w:pPr>
                    <w:spacing w:after="0"/>
                    <w:jc w:val="right"/>
                    <w:rPr>
                      <w:rFonts w:cs="Arial"/>
                      <w:sz w:val="18"/>
                      <w:szCs w:val="18"/>
                    </w:rPr>
                  </w:pPr>
                </w:p>
                <w:p w14:paraId="549CB71D" w14:textId="77777777" w:rsidR="00CD6982" w:rsidRDefault="00CD6982" w:rsidP="00CD6982">
                  <w:pPr>
                    <w:spacing w:after="0"/>
                    <w:jc w:val="right"/>
                    <w:rPr>
                      <w:rFonts w:cs="Arial"/>
                      <w:sz w:val="18"/>
                      <w:szCs w:val="18"/>
                    </w:rPr>
                  </w:pPr>
                </w:p>
                <w:p w14:paraId="37B413BC" w14:textId="6E2D22CB" w:rsidR="005A298C" w:rsidRPr="00E0513E" w:rsidRDefault="00D61CDA" w:rsidP="00CD6982">
                  <w:pPr>
                    <w:spacing w:after="0"/>
                    <w:jc w:val="right"/>
                    <w:rPr>
                      <w:rFonts w:cs="Arial"/>
                      <w:sz w:val="18"/>
                      <w:szCs w:val="18"/>
                    </w:rPr>
                  </w:pPr>
                  <w:r>
                    <w:rPr>
                      <w:rFonts w:cs="Arial"/>
                      <w:sz w:val="18"/>
                      <w:szCs w:val="18"/>
                    </w:rPr>
                    <w:t>20.000</w:t>
                  </w:r>
                </w:p>
              </w:tc>
              <w:tc>
                <w:tcPr>
                  <w:tcW w:w="1418" w:type="dxa"/>
                  <w:gridSpan w:val="2"/>
                  <w:tcBorders>
                    <w:top w:val="nil"/>
                    <w:left w:val="nil"/>
                    <w:bottom w:val="nil"/>
                    <w:right w:val="nil"/>
                  </w:tcBorders>
                  <w:shd w:val="clear" w:color="auto" w:fill="auto"/>
                  <w:noWrap/>
                </w:tcPr>
                <w:p w14:paraId="25BAE9D5" w14:textId="77777777" w:rsidR="00CD6982" w:rsidRDefault="00CD6982" w:rsidP="00CD6982">
                  <w:pPr>
                    <w:spacing w:after="0"/>
                    <w:rPr>
                      <w:rFonts w:cs="Arial"/>
                      <w:sz w:val="18"/>
                      <w:szCs w:val="18"/>
                    </w:rPr>
                  </w:pPr>
                </w:p>
                <w:p w14:paraId="5EAB179B" w14:textId="77777777" w:rsidR="00CD6982" w:rsidRDefault="00CD6982" w:rsidP="00CD6982">
                  <w:pPr>
                    <w:spacing w:after="0"/>
                    <w:rPr>
                      <w:rFonts w:cs="Arial"/>
                      <w:sz w:val="18"/>
                      <w:szCs w:val="18"/>
                    </w:rPr>
                  </w:pPr>
                </w:p>
                <w:p w14:paraId="1265E4F9" w14:textId="309BA8E5" w:rsidR="005A298C" w:rsidRDefault="005A298C" w:rsidP="00CD6982">
                  <w:pPr>
                    <w:spacing w:after="0"/>
                    <w:rPr>
                      <w:rFonts w:cs="Arial"/>
                      <w:sz w:val="18"/>
                      <w:szCs w:val="18"/>
                    </w:rPr>
                  </w:pPr>
                  <w:r>
                    <w:rPr>
                      <w:rFonts w:cs="Arial"/>
                      <w:sz w:val="18"/>
                      <w:szCs w:val="18"/>
                    </w:rPr>
                    <w:t xml:space="preserve">Kredit bei der </w:t>
                  </w:r>
                  <w:r w:rsidR="00041BFF">
                    <w:rPr>
                      <w:rFonts w:cs="Arial"/>
                      <w:sz w:val="18"/>
                      <w:szCs w:val="18"/>
                    </w:rPr>
                    <w:br/>
                  </w:r>
                  <w:proofErr w:type="spellStart"/>
                  <w:r>
                    <w:rPr>
                      <w:rFonts w:cs="Arial"/>
                      <w:sz w:val="18"/>
                      <w:szCs w:val="18"/>
                    </w:rPr>
                    <w:t>Sparbank</w:t>
                  </w:r>
                  <w:proofErr w:type="spellEnd"/>
                </w:p>
                <w:p w14:paraId="6A0DD77B" w14:textId="77777777" w:rsidR="005A298C" w:rsidRPr="00E0513E" w:rsidRDefault="005A298C" w:rsidP="00CD6982">
                  <w:pPr>
                    <w:spacing w:after="0"/>
                    <w:rPr>
                      <w:rFonts w:cs="Arial"/>
                      <w:sz w:val="18"/>
                      <w:szCs w:val="18"/>
                    </w:rPr>
                  </w:pPr>
                </w:p>
              </w:tc>
              <w:tc>
                <w:tcPr>
                  <w:tcW w:w="850" w:type="dxa"/>
                  <w:tcBorders>
                    <w:top w:val="nil"/>
                    <w:left w:val="nil"/>
                    <w:bottom w:val="nil"/>
                    <w:right w:val="nil"/>
                  </w:tcBorders>
                  <w:shd w:val="clear" w:color="auto" w:fill="auto"/>
                  <w:noWrap/>
                </w:tcPr>
                <w:p w14:paraId="527B63C9" w14:textId="77777777" w:rsidR="00D61CDA" w:rsidRDefault="00D61CDA" w:rsidP="00CD6982">
                  <w:pPr>
                    <w:spacing w:after="0"/>
                    <w:jc w:val="right"/>
                    <w:rPr>
                      <w:rFonts w:cs="Arial"/>
                      <w:sz w:val="18"/>
                      <w:szCs w:val="18"/>
                    </w:rPr>
                  </w:pPr>
                </w:p>
                <w:p w14:paraId="3FBD2337" w14:textId="77777777" w:rsidR="00CD6982" w:rsidRDefault="00CD6982" w:rsidP="00CD6982">
                  <w:pPr>
                    <w:spacing w:after="0"/>
                    <w:jc w:val="right"/>
                    <w:rPr>
                      <w:rFonts w:cs="Arial"/>
                      <w:sz w:val="18"/>
                      <w:szCs w:val="18"/>
                    </w:rPr>
                  </w:pPr>
                </w:p>
                <w:p w14:paraId="0DC2CC7B" w14:textId="77777777" w:rsidR="00CD6982" w:rsidRDefault="00CD6982" w:rsidP="00CD6982">
                  <w:pPr>
                    <w:spacing w:after="0"/>
                    <w:jc w:val="right"/>
                    <w:rPr>
                      <w:rFonts w:cs="Arial"/>
                      <w:sz w:val="18"/>
                      <w:szCs w:val="18"/>
                    </w:rPr>
                  </w:pPr>
                </w:p>
                <w:p w14:paraId="30107E46" w14:textId="0F3F62ED" w:rsidR="005A298C" w:rsidRPr="00E0513E" w:rsidRDefault="00D61CDA" w:rsidP="00CD6982">
                  <w:pPr>
                    <w:spacing w:after="0"/>
                    <w:jc w:val="right"/>
                    <w:rPr>
                      <w:rFonts w:cs="Arial"/>
                      <w:sz w:val="18"/>
                      <w:szCs w:val="18"/>
                    </w:rPr>
                  </w:pPr>
                  <w:r>
                    <w:rPr>
                      <w:rFonts w:cs="Arial"/>
                      <w:sz w:val="18"/>
                      <w:szCs w:val="18"/>
                    </w:rPr>
                    <w:t>20.000</w:t>
                  </w:r>
                </w:p>
              </w:tc>
              <w:tc>
                <w:tcPr>
                  <w:tcW w:w="284" w:type="dxa"/>
                  <w:tcBorders>
                    <w:top w:val="nil"/>
                    <w:left w:val="nil"/>
                    <w:bottom w:val="nil"/>
                    <w:right w:val="nil"/>
                  </w:tcBorders>
                  <w:shd w:val="clear" w:color="auto" w:fill="auto"/>
                  <w:noWrap/>
                  <w:hideMark/>
                </w:tcPr>
                <w:p w14:paraId="03C90F30" w14:textId="77777777" w:rsidR="005A298C" w:rsidRPr="00813E47" w:rsidRDefault="005A298C" w:rsidP="00CD6982">
                  <w:pPr>
                    <w:spacing w:after="0"/>
                    <w:rPr>
                      <w:rFonts w:cs="Arial"/>
                      <w:color w:val="000000"/>
                      <w:sz w:val="18"/>
                      <w:szCs w:val="18"/>
                    </w:rPr>
                  </w:pPr>
                </w:p>
              </w:tc>
              <w:tc>
                <w:tcPr>
                  <w:tcW w:w="1417" w:type="dxa"/>
                  <w:gridSpan w:val="2"/>
                  <w:tcBorders>
                    <w:top w:val="nil"/>
                    <w:left w:val="nil"/>
                    <w:bottom w:val="nil"/>
                    <w:right w:val="nil"/>
                  </w:tcBorders>
                  <w:shd w:val="clear" w:color="auto" w:fill="auto"/>
                  <w:noWrap/>
                  <w:hideMark/>
                </w:tcPr>
                <w:p w14:paraId="77CCCFD3" w14:textId="6245471B" w:rsidR="005A298C" w:rsidRPr="00E0513E" w:rsidRDefault="005A298C" w:rsidP="00CD6982">
                  <w:pPr>
                    <w:spacing w:after="0"/>
                    <w:rPr>
                      <w:rFonts w:cs="Arial"/>
                      <w:sz w:val="18"/>
                      <w:szCs w:val="18"/>
                    </w:rPr>
                  </w:pPr>
                  <w:r>
                    <w:rPr>
                      <w:rFonts w:cs="Arial"/>
                      <w:sz w:val="18"/>
                      <w:szCs w:val="18"/>
                    </w:rPr>
                    <w:t xml:space="preserve">Kredit an </w:t>
                  </w:r>
                  <w:r>
                    <w:rPr>
                      <w:rFonts w:cs="Arial"/>
                      <w:sz w:val="18"/>
                      <w:szCs w:val="18"/>
                    </w:rPr>
                    <w:br/>
                    <w:t>Kurt Meyer</w:t>
                  </w:r>
                </w:p>
              </w:tc>
              <w:tc>
                <w:tcPr>
                  <w:tcW w:w="709" w:type="dxa"/>
                  <w:tcBorders>
                    <w:top w:val="nil"/>
                    <w:left w:val="nil"/>
                    <w:bottom w:val="nil"/>
                    <w:right w:val="single" w:sz="4" w:space="0" w:color="auto"/>
                  </w:tcBorders>
                  <w:shd w:val="clear" w:color="auto" w:fill="auto"/>
                  <w:noWrap/>
                  <w:hideMark/>
                </w:tcPr>
                <w:p w14:paraId="1248D7BD" w14:textId="77777777" w:rsidR="00CD6982" w:rsidRDefault="00CD6982" w:rsidP="00CD6982">
                  <w:pPr>
                    <w:spacing w:after="0"/>
                    <w:jc w:val="right"/>
                    <w:rPr>
                      <w:rFonts w:cs="Arial"/>
                      <w:sz w:val="18"/>
                      <w:szCs w:val="18"/>
                    </w:rPr>
                  </w:pPr>
                </w:p>
                <w:p w14:paraId="074DCDAA" w14:textId="0572703F" w:rsidR="005A298C" w:rsidRDefault="005A298C" w:rsidP="00CD6982">
                  <w:pPr>
                    <w:spacing w:after="0"/>
                    <w:jc w:val="right"/>
                    <w:rPr>
                      <w:rFonts w:cs="Arial"/>
                      <w:sz w:val="18"/>
                      <w:szCs w:val="18"/>
                    </w:rPr>
                  </w:pPr>
                  <w:r>
                    <w:rPr>
                      <w:rFonts w:cs="Arial"/>
                      <w:sz w:val="18"/>
                      <w:szCs w:val="18"/>
                    </w:rPr>
                    <w:t>20.000</w:t>
                  </w:r>
                </w:p>
                <w:p w14:paraId="3FDDB6D1" w14:textId="77777777" w:rsidR="005A298C" w:rsidRPr="00E0513E" w:rsidRDefault="005A298C" w:rsidP="00713AEB">
                  <w:pPr>
                    <w:spacing w:after="0"/>
                    <w:jc w:val="center"/>
                    <w:rPr>
                      <w:rFonts w:cs="Arial"/>
                      <w:sz w:val="18"/>
                      <w:szCs w:val="18"/>
                    </w:rPr>
                  </w:pPr>
                </w:p>
              </w:tc>
              <w:tc>
                <w:tcPr>
                  <w:tcW w:w="1400" w:type="dxa"/>
                  <w:gridSpan w:val="2"/>
                  <w:tcBorders>
                    <w:top w:val="nil"/>
                    <w:left w:val="nil"/>
                    <w:bottom w:val="nil"/>
                    <w:right w:val="nil"/>
                  </w:tcBorders>
                  <w:shd w:val="clear" w:color="auto" w:fill="auto"/>
                  <w:noWrap/>
                </w:tcPr>
                <w:p w14:paraId="63A3F62B" w14:textId="77777777" w:rsidR="00CD6982" w:rsidRDefault="00CD6982" w:rsidP="00CD6982">
                  <w:pPr>
                    <w:spacing w:after="0"/>
                    <w:rPr>
                      <w:rFonts w:cs="Arial"/>
                      <w:sz w:val="18"/>
                      <w:szCs w:val="18"/>
                    </w:rPr>
                  </w:pPr>
                </w:p>
                <w:p w14:paraId="662FCF4C" w14:textId="77777777" w:rsidR="00CD6982" w:rsidRDefault="00CD6982" w:rsidP="00CD6982">
                  <w:pPr>
                    <w:spacing w:after="0"/>
                    <w:rPr>
                      <w:rFonts w:cs="Arial"/>
                      <w:sz w:val="18"/>
                      <w:szCs w:val="18"/>
                    </w:rPr>
                  </w:pPr>
                </w:p>
                <w:p w14:paraId="37BB4B6A" w14:textId="5E907044" w:rsidR="005A298C" w:rsidRDefault="005A298C" w:rsidP="00CD6982">
                  <w:pPr>
                    <w:spacing w:after="0"/>
                    <w:rPr>
                      <w:rFonts w:cs="Arial"/>
                      <w:sz w:val="18"/>
                      <w:szCs w:val="18"/>
                    </w:rPr>
                  </w:pPr>
                  <w:r>
                    <w:rPr>
                      <w:rFonts w:cs="Arial"/>
                      <w:sz w:val="18"/>
                      <w:szCs w:val="18"/>
                    </w:rPr>
                    <w:t>Sichteinlage Kurt Meyer</w:t>
                  </w:r>
                  <w:r w:rsidRPr="00E0513E">
                    <w:rPr>
                      <w:rFonts w:cs="Arial"/>
                      <w:sz w:val="18"/>
                      <w:szCs w:val="18"/>
                    </w:rPr>
                    <w:t xml:space="preserve"> </w:t>
                  </w:r>
                </w:p>
                <w:p w14:paraId="2748F308" w14:textId="77777777" w:rsidR="005A298C" w:rsidRPr="00E0513E" w:rsidRDefault="005A298C" w:rsidP="00CD6982">
                  <w:pPr>
                    <w:spacing w:after="0"/>
                    <w:rPr>
                      <w:rFonts w:cs="Arial"/>
                      <w:sz w:val="18"/>
                      <w:szCs w:val="18"/>
                    </w:rPr>
                  </w:pPr>
                </w:p>
              </w:tc>
              <w:tc>
                <w:tcPr>
                  <w:tcW w:w="868" w:type="dxa"/>
                  <w:tcBorders>
                    <w:top w:val="nil"/>
                    <w:left w:val="nil"/>
                    <w:bottom w:val="nil"/>
                    <w:right w:val="nil"/>
                  </w:tcBorders>
                  <w:shd w:val="clear" w:color="auto" w:fill="auto"/>
                  <w:noWrap/>
                </w:tcPr>
                <w:p w14:paraId="1D5F5ED9" w14:textId="77777777" w:rsidR="00CD6982" w:rsidRDefault="00CD6982" w:rsidP="00CD6982">
                  <w:pPr>
                    <w:spacing w:after="0"/>
                    <w:jc w:val="right"/>
                    <w:rPr>
                      <w:rFonts w:cs="Arial"/>
                      <w:sz w:val="18"/>
                      <w:szCs w:val="18"/>
                    </w:rPr>
                  </w:pPr>
                </w:p>
                <w:p w14:paraId="235960D9" w14:textId="77777777" w:rsidR="00CD6982" w:rsidRDefault="00CD6982" w:rsidP="00CD6982">
                  <w:pPr>
                    <w:spacing w:after="0"/>
                    <w:jc w:val="right"/>
                    <w:rPr>
                      <w:rFonts w:cs="Arial"/>
                      <w:sz w:val="18"/>
                      <w:szCs w:val="18"/>
                    </w:rPr>
                  </w:pPr>
                </w:p>
                <w:p w14:paraId="2B8D01ED" w14:textId="77777777" w:rsidR="00CD6982" w:rsidRDefault="00CD6982" w:rsidP="00CD6982">
                  <w:pPr>
                    <w:spacing w:after="0"/>
                    <w:jc w:val="right"/>
                    <w:rPr>
                      <w:rFonts w:cs="Arial"/>
                      <w:sz w:val="18"/>
                      <w:szCs w:val="18"/>
                    </w:rPr>
                  </w:pPr>
                </w:p>
                <w:p w14:paraId="34A0455C" w14:textId="452B5C9E" w:rsidR="005A298C" w:rsidRDefault="005A298C" w:rsidP="00CD6982">
                  <w:pPr>
                    <w:spacing w:after="0"/>
                    <w:jc w:val="right"/>
                    <w:rPr>
                      <w:rFonts w:cs="Arial"/>
                      <w:sz w:val="18"/>
                      <w:szCs w:val="18"/>
                    </w:rPr>
                  </w:pPr>
                  <w:r>
                    <w:rPr>
                      <w:rFonts w:cs="Arial"/>
                      <w:sz w:val="18"/>
                      <w:szCs w:val="18"/>
                    </w:rPr>
                    <w:t>20.000</w:t>
                  </w:r>
                </w:p>
                <w:p w14:paraId="0391B0E5" w14:textId="77777777" w:rsidR="005A298C" w:rsidRPr="00E0513E" w:rsidRDefault="005A298C" w:rsidP="00CD6982">
                  <w:pPr>
                    <w:spacing w:after="0"/>
                    <w:jc w:val="right"/>
                    <w:rPr>
                      <w:rFonts w:cs="Arial"/>
                      <w:sz w:val="18"/>
                      <w:szCs w:val="18"/>
                    </w:rPr>
                  </w:pPr>
                </w:p>
              </w:tc>
            </w:tr>
          </w:tbl>
          <w:p w14:paraId="390F80DE" w14:textId="7C2407BC" w:rsidR="006940BF" w:rsidRDefault="006940BF" w:rsidP="007C3A73">
            <w:pPr>
              <w:rPr>
                <w:rFonts w:cs="Arial"/>
              </w:rPr>
            </w:pPr>
          </w:p>
          <w:p w14:paraId="5FA8FFC8" w14:textId="70E55659" w:rsidR="005A298C" w:rsidRDefault="005A298C" w:rsidP="007C3A73">
            <w:pPr>
              <w:rPr>
                <w:rFonts w:cs="Arial"/>
              </w:rPr>
            </w:pPr>
            <w:r>
              <w:rPr>
                <w:rFonts w:cs="Arial"/>
              </w:rPr>
              <w:t>Im Ergebnis kommt es bei beiden Beteiligten zu einer Bilanzverlängerung. Durch die Buchungsvorgänge wur</w:t>
            </w:r>
            <w:r w:rsidR="00BD45FF">
              <w:rPr>
                <w:rFonts w:cs="Arial"/>
              </w:rPr>
              <w:t>de Giralgeld in Höhe von 20.000 </w:t>
            </w:r>
            <w:r w:rsidR="00912F3F">
              <w:rPr>
                <w:rFonts w:cs="Arial"/>
              </w:rPr>
              <w:t>Euro</w:t>
            </w:r>
            <w:r>
              <w:rPr>
                <w:rFonts w:cs="Arial"/>
              </w:rPr>
              <w:t xml:space="preserve"> geschaffen. Die Bilanz der Zentralbank hat sich durch diese Kreditvergabe nicht verändert. </w:t>
            </w:r>
          </w:p>
          <w:p w14:paraId="716992CA" w14:textId="77777777" w:rsidR="005A298C" w:rsidRDefault="005A298C" w:rsidP="007C3A73">
            <w:pPr>
              <w:rPr>
                <w:rFonts w:cs="Arial"/>
              </w:rPr>
            </w:pPr>
          </w:p>
          <w:p w14:paraId="14DD3B6B" w14:textId="3674B035" w:rsidR="00CD6982" w:rsidRDefault="006940BF" w:rsidP="007C3A73">
            <w:pPr>
              <w:rPr>
                <w:rFonts w:cs="Arial"/>
              </w:rPr>
            </w:pPr>
            <w:r>
              <w:rPr>
                <w:rFonts w:cs="Arial"/>
              </w:rPr>
              <w:t>Fortsetzung des Beispiels:</w:t>
            </w:r>
          </w:p>
          <w:p w14:paraId="3598BE9E" w14:textId="77777777" w:rsidR="00F175CF" w:rsidRDefault="00F175CF" w:rsidP="007C3A73">
            <w:pPr>
              <w:rPr>
                <w:rFonts w:cs="Arial"/>
              </w:rPr>
            </w:pPr>
          </w:p>
          <w:p w14:paraId="7A31483D" w14:textId="3B3D5D87" w:rsidR="005A298C" w:rsidRDefault="005A298C" w:rsidP="007C3A73">
            <w:pPr>
              <w:rPr>
                <w:rFonts w:cs="Arial"/>
              </w:rPr>
            </w:pPr>
            <w:r>
              <w:rPr>
                <w:rFonts w:cs="Arial"/>
              </w:rPr>
              <w:t>Kurt Meye</w:t>
            </w:r>
            <w:r w:rsidR="00B15C4A">
              <w:rPr>
                <w:rFonts w:cs="Arial"/>
              </w:rPr>
              <w:t xml:space="preserve">r erwirbt beim Autohaus </w:t>
            </w:r>
            <w:proofErr w:type="spellStart"/>
            <w:r w:rsidR="00B15C4A">
              <w:rPr>
                <w:rFonts w:cs="Arial"/>
              </w:rPr>
              <w:t>Fi</w:t>
            </w:r>
            <w:r w:rsidR="004B1AAD">
              <w:rPr>
                <w:rFonts w:cs="Arial"/>
              </w:rPr>
              <w:t>l</w:t>
            </w:r>
            <w:r w:rsidR="00B15C4A">
              <w:rPr>
                <w:rFonts w:cs="Arial"/>
              </w:rPr>
              <w:t>scher</w:t>
            </w:r>
            <w:proofErr w:type="spellEnd"/>
            <w:r w:rsidR="00B15C4A">
              <w:rPr>
                <w:rFonts w:cs="Arial"/>
              </w:rPr>
              <w:t> </w:t>
            </w:r>
            <w:r>
              <w:rPr>
                <w:rFonts w:cs="Arial"/>
              </w:rPr>
              <w:t>GmbH</w:t>
            </w:r>
            <w:r w:rsidR="00BD45FF">
              <w:rPr>
                <w:rFonts w:cs="Arial"/>
              </w:rPr>
              <w:t xml:space="preserve"> einen Pkw zum Preis von 20.000 </w:t>
            </w:r>
            <w:r w:rsidR="00912F3F">
              <w:rPr>
                <w:rFonts w:cs="Arial"/>
              </w:rPr>
              <w:t>Euro</w:t>
            </w:r>
            <w:r>
              <w:rPr>
                <w:rFonts w:cs="Arial"/>
              </w:rPr>
              <w:t xml:space="preserve">. Das Autohaus hat ein </w:t>
            </w:r>
            <w:r w:rsidR="00B15C4A">
              <w:rPr>
                <w:rFonts w:cs="Arial"/>
              </w:rPr>
              <w:t xml:space="preserve">Geschäftskonto bei der </w:t>
            </w:r>
            <w:proofErr w:type="spellStart"/>
            <w:r w:rsidR="00B15C4A">
              <w:rPr>
                <w:rFonts w:cs="Arial"/>
              </w:rPr>
              <w:t>Sparbank</w:t>
            </w:r>
            <w:proofErr w:type="spellEnd"/>
            <w:r w:rsidR="00B15C4A">
              <w:rPr>
                <w:rFonts w:cs="Arial"/>
              </w:rPr>
              <w:t> </w:t>
            </w:r>
            <w:r>
              <w:rPr>
                <w:rFonts w:cs="Arial"/>
              </w:rPr>
              <w:t>AG und ein weiteres</w:t>
            </w:r>
            <w:r w:rsidR="00B15C4A">
              <w:rPr>
                <w:rFonts w:cs="Arial"/>
              </w:rPr>
              <w:t xml:space="preserve"> Geschäftskonto bei der XY-Bank </w:t>
            </w:r>
            <w:r>
              <w:rPr>
                <w:rFonts w:cs="Arial"/>
              </w:rPr>
              <w:t xml:space="preserve">AG in </w:t>
            </w:r>
            <w:proofErr w:type="spellStart"/>
            <w:r>
              <w:rPr>
                <w:rFonts w:cs="Arial"/>
              </w:rPr>
              <w:t>Bürglingen</w:t>
            </w:r>
            <w:proofErr w:type="spellEnd"/>
            <w:r>
              <w:rPr>
                <w:rFonts w:cs="Arial"/>
              </w:rPr>
              <w:t>.</w:t>
            </w:r>
          </w:p>
          <w:p w14:paraId="4FAD4BEA" w14:textId="77777777" w:rsidR="005A298C" w:rsidRDefault="005A298C" w:rsidP="007C3A73">
            <w:pPr>
              <w:rPr>
                <w:rFonts w:cs="Arial"/>
              </w:rPr>
            </w:pPr>
          </w:p>
          <w:p w14:paraId="46461E4F" w14:textId="77777777" w:rsidR="005A298C" w:rsidRDefault="005A298C" w:rsidP="007C3A73">
            <w:pPr>
              <w:rPr>
                <w:rFonts w:cs="Arial"/>
              </w:rPr>
            </w:pPr>
            <w:r>
              <w:rPr>
                <w:rFonts w:cs="Arial"/>
              </w:rPr>
              <w:t>Grundsätzlich hat Kurt Meyer drei Möglichkeiten:</w:t>
            </w:r>
          </w:p>
          <w:p w14:paraId="0B058F6C" w14:textId="77777777" w:rsidR="005A298C" w:rsidRDefault="005A298C" w:rsidP="007C3A73">
            <w:pPr>
              <w:rPr>
                <w:rFonts w:cs="Arial"/>
              </w:rPr>
            </w:pPr>
          </w:p>
          <w:p w14:paraId="6F5BEA17" w14:textId="69A29249" w:rsidR="005A298C" w:rsidRDefault="005A298C" w:rsidP="007C3A73">
            <w:pPr>
              <w:pStyle w:val="Listenabsatz"/>
              <w:numPr>
                <w:ilvl w:val="0"/>
                <w:numId w:val="6"/>
              </w:numPr>
              <w:rPr>
                <w:rFonts w:cs="Arial"/>
              </w:rPr>
            </w:pPr>
            <w:r>
              <w:rPr>
                <w:rFonts w:cs="Arial"/>
              </w:rPr>
              <w:t>Er kann sich den Betrag in bar auszahlen lassen und damit sein Auto in bar b</w:t>
            </w:r>
            <w:r w:rsidR="00243F01">
              <w:rPr>
                <w:rFonts w:cs="Arial"/>
              </w:rPr>
              <w:t xml:space="preserve">ezahlen. </w:t>
            </w:r>
            <w:r w:rsidR="00243F01">
              <w:rPr>
                <w:rFonts w:cs="Arial"/>
              </w:rPr>
              <w:br/>
              <w:t>Problem: D</w:t>
            </w:r>
            <w:r w:rsidR="00B15C4A">
              <w:rPr>
                <w:rFonts w:cs="Arial"/>
              </w:rPr>
              <w:t xml:space="preserve">ie </w:t>
            </w:r>
            <w:proofErr w:type="spellStart"/>
            <w:r w:rsidR="00B15C4A">
              <w:rPr>
                <w:rFonts w:cs="Arial"/>
              </w:rPr>
              <w:t>Sparbank</w:t>
            </w:r>
            <w:proofErr w:type="spellEnd"/>
            <w:r w:rsidR="00B15C4A">
              <w:rPr>
                <w:rFonts w:cs="Arial"/>
              </w:rPr>
              <w:t> </w:t>
            </w:r>
            <w:r>
              <w:rPr>
                <w:rFonts w:cs="Arial"/>
              </w:rPr>
              <w:t xml:space="preserve">AG benötigt dann Bargeld, das sie nicht selbst schaffen kann, da im Euroraum </w:t>
            </w:r>
            <w:r w:rsidR="00125E00">
              <w:rPr>
                <w:rFonts w:cs="Arial"/>
              </w:rPr>
              <w:t xml:space="preserve">nur </w:t>
            </w:r>
            <w:r w:rsidR="00323ED9">
              <w:rPr>
                <w:rFonts w:cs="Arial"/>
              </w:rPr>
              <w:t>die</w:t>
            </w:r>
            <w:r>
              <w:rPr>
                <w:rFonts w:cs="Arial"/>
              </w:rPr>
              <w:t xml:space="preserve"> Europäische Zentralbank (EZB)</w:t>
            </w:r>
            <w:r w:rsidR="003A403C">
              <w:rPr>
                <w:rFonts w:cs="Arial"/>
              </w:rPr>
              <w:t xml:space="preserve"> und die nationalen Zentralbanken des Eurosystems</w:t>
            </w:r>
            <w:r w:rsidR="00125E00">
              <w:rPr>
                <w:rFonts w:cs="Arial"/>
              </w:rPr>
              <w:t>* befugt sind, Euro-Banknoten auszugeben.</w:t>
            </w:r>
            <w:r>
              <w:rPr>
                <w:rFonts w:cs="Arial"/>
              </w:rPr>
              <w:t xml:space="preserve"> </w:t>
            </w:r>
            <w:r w:rsidR="00323ED9">
              <w:rPr>
                <w:rFonts w:cs="Arial"/>
              </w:rPr>
              <w:t>D</w:t>
            </w:r>
            <w:r>
              <w:rPr>
                <w:rFonts w:cs="Arial"/>
              </w:rPr>
              <w:t xml:space="preserve">ie </w:t>
            </w:r>
            <w:proofErr w:type="spellStart"/>
            <w:r w:rsidR="00B15C4A">
              <w:rPr>
                <w:rFonts w:cs="Arial"/>
              </w:rPr>
              <w:t>Sparbank</w:t>
            </w:r>
            <w:proofErr w:type="spellEnd"/>
            <w:r w:rsidR="00B15C4A">
              <w:rPr>
                <w:rFonts w:cs="Arial"/>
              </w:rPr>
              <w:t> </w:t>
            </w:r>
            <w:r w:rsidR="00323ED9">
              <w:rPr>
                <w:rFonts w:cs="Arial"/>
              </w:rPr>
              <w:t xml:space="preserve">AG </w:t>
            </w:r>
            <w:r>
              <w:rPr>
                <w:rFonts w:cs="Arial"/>
              </w:rPr>
              <w:t xml:space="preserve">benötigt </w:t>
            </w:r>
            <w:r w:rsidR="00490102">
              <w:rPr>
                <w:rFonts w:cs="Arial"/>
              </w:rPr>
              <w:t xml:space="preserve">deshalb </w:t>
            </w:r>
            <w:r>
              <w:rPr>
                <w:rFonts w:cs="Arial"/>
              </w:rPr>
              <w:t>ein ausreichendes Guthaben bei der Deutschen Bundesbank</w:t>
            </w:r>
            <w:r w:rsidR="00323ED9">
              <w:rPr>
                <w:rFonts w:cs="Arial"/>
              </w:rPr>
              <w:t xml:space="preserve">, </w:t>
            </w:r>
            <w:r w:rsidR="00125E00">
              <w:rPr>
                <w:rFonts w:cs="Arial"/>
              </w:rPr>
              <w:t>die das Euro-Bargeld in Deutschland ausgibt.</w:t>
            </w:r>
          </w:p>
          <w:p w14:paraId="3430559D" w14:textId="77777777" w:rsidR="005A298C" w:rsidRDefault="005A298C" w:rsidP="007C3A73">
            <w:pPr>
              <w:pStyle w:val="Listenabsatz"/>
              <w:ind w:left="360"/>
              <w:rPr>
                <w:rFonts w:cs="Arial"/>
              </w:rPr>
            </w:pPr>
          </w:p>
          <w:p w14:paraId="3D51392F" w14:textId="6BD6F73E" w:rsidR="005A298C" w:rsidRDefault="005A298C" w:rsidP="007C3A73">
            <w:pPr>
              <w:pStyle w:val="Listenabsatz"/>
              <w:numPr>
                <w:ilvl w:val="0"/>
                <w:numId w:val="6"/>
              </w:numPr>
              <w:rPr>
                <w:rFonts w:cs="Arial"/>
              </w:rPr>
            </w:pPr>
            <w:r w:rsidRPr="00D41D0E">
              <w:rPr>
                <w:rFonts w:cs="Arial"/>
              </w:rPr>
              <w:t>Er kann den Kaufpreis von se</w:t>
            </w:r>
            <w:r w:rsidR="00B15C4A">
              <w:rPr>
                <w:rFonts w:cs="Arial"/>
              </w:rPr>
              <w:t xml:space="preserve">inem Girokonto bei der </w:t>
            </w:r>
            <w:proofErr w:type="spellStart"/>
            <w:r w:rsidR="00B15C4A">
              <w:rPr>
                <w:rFonts w:cs="Arial"/>
              </w:rPr>
              <w:t>Sparbank</w:t>
            </w:r>
            <w:proofErr w:type="spellEnd"/>
            <w:r w:rsidR="00B15C4A">
              <w:rPr>
                <w:rFonts w:cs="Arial"/>
              </w:rPr>
              <w:t> </w:t>
            </w:r>
            <w:r w:rsidRPr="00D41D0E">
              <w:rPr>
                <w:rFonts w:cs="Arial"/>
              </w:rPr>
              <w:t xml:space="preserve">AG auf das Geschäftskonto </w:t>
            </w:r>
            <w:r w:rsidR="00B15C4A">
              <w:rPr>
                <w:rFonts w:cs="Arial"/>
              </w:rPr>
              <w:t xml:space="preserve">des Autohauses bei der </w:t>
            </w:r>
            <w:proofErr w:type="spellStart"/>
            <w:r w:rsidR="00B15C4A">
              <w:rPr>
                <w:rFonts w:cs="Arial"/>
              </w:rPr>
              <w:t>Sparbank</w:t>
            </w:r>
            <w:proofErr w:type="spellEnd"/>
            <w:r w:rsidR="00B15C4A">
              <w:rPr>
                <w:rFonts w:cs="Arial"/>
              </w:rPr>
              <w:t xml:space="preserve"> AG überweisen. Die </w:t>
            </w:r>
            <w:proofErr w:type="spellStart"/>
            <w:r w:rsidR="00B15C4A">
              <w:rPr>
                <w:rFonts w:cs="Arial"/>
              </w:rPr>
              <w:t>Sparbank</w:t>
            </w:r>
            <w:proofErr w:type="spellEnd"/>
            <w:r w:rsidR="00B15C4A">
              <w:rPr>
                <w:rFonts w:cs="Arial"/>
              </w:rPr>
              <w:t> </w:t>
            </w:r>
            <w:r w:rsidRPr="00D41D0E">
              <w:rPr>
                <w:rFonts w:cs="Arial"/>
              </w:rPr>
              <w:t>AG hat in diesem Fall fast kein Problem. Sie kann zusätzliche Guthaben bei sich selbst im Prinzip unbegrenz</w:t>
            </w:r>
            <w:r w:rsidR="00B15C4A">
              <w:rPr>
                <w:rFonts w:cs="Arial"/>
              </w:rPr>
              <w:t xml:space="preserve">t schaffen. </w:t>
            </w:r>
            <w:r w:rsidR="00B15C4A">
              <w:rPr>
                <w:rFonts w:cs="Arial"/>
              </w:rPr>
              <w:br/>
              <w:t xml:space="preserve">Aber: Die </w:t>
            </w:r>
            <w:proofErr w:type="spellStart"/>
            <w:r w:rsidR="00B15C4A">
              <w:rPr>
                <w:rFonts w:cs="Arial"/>
              </w:rPr>
              <w:t>Sparbank</w:t>
            </w:r>
            <w:proofErr w:type="spellEnd"/>
            <w:r w:rsidR="00B15C4A">
              <w:rPr>
                <w:rFonts w:cs="Arial"/>
              </w:rPr>
              <w:t> </w:t>
            </w:r>
            <w:r w:rsidRPr="00D41D0E">
              <w:rPr>
                <w:rFonts w:cs="Arial"/>
              </w:rPr>
              <w:t>AG ist verpflichtet, für ihre Sichtguthaben und für alle Einlagen mit einer Befristung von bis zu zwei Jahren ein Guthaben bei der EZB, das „Mindestreser</w:t>
            </w:r>
            <w:r w:rsidR="00912F3F">
              <w:rPr>
                <w:rFonts w:cs="Arial"/>
              </w:rPr>
              <w:t xml:space="preserve">ve“ genannt wird, in Höhe von einem </w:t>
            </w:r>
            <w:r w:rsidRPr="00D41D0E">
              <w:rPr>
                <w:rFonts w:cs="Arial"/>
              </w:rPr>
              <w:t xml:space="preserve">Prozent des Einlagenbetrags zu halten. Dieses eine Prozent des geschaffenen Guthabens stellt für die </w:t>
            </w:r>
            <w:proofErr w:type="spellStart"/>
            <w:r w:rsidRPr="00D41D0E">
              <w:rPr>
                <w:rFonts w:cs="Arial"/>
              </w:rPr>
              <w:t>Sp</w:t>
            </w:r>
            <w:r w:rsidR="00B15C4A">
              <w:rPr>
                <w:rFonts w:cs="Arial"/>
              </w:rPr>
              <w:t>arbank</w:t>
            </w:r>
            <w:proofErr w:type="spellEnd"/>
            <w:r w:rsidR="00B15C4A">
              <w:rPr>
                <w:rFonts w:cs="Arial"/>
              </w:rPr>
              <w:t> </w:t>
            </w:r>
            <w:r w:rsidRPr="00D41D0E">
              <w:rPr>
                <w:rFonts w:cs="Arial"/>
              </w:rPr>
              <w:t xml:space="preserve">AG das Liquiditätsproblem dar. </w:t>
            </w:r>
          </w:p>
          <w:p w14:paraId="700B8F0C" w14:textId="77777777" w:rsidR="005A298C" w:rsidRPr="00D41D0E" w:rsidRDefault="005A298C" w:rsidP="007C3A73">
            <w:pPr>
              <w:rPr>
                <w:rFonts w:cs="Arial"/>
              </w:rPr>
            </w:pPr>
          </w:p>
          <w:p w14:paraId="067BAA70" w14:textId="715DBE69" w:rsidR="005A298C" w:rsidRPr="00596E3B" w:rsidRDefault="005A298C" w:rsidP="007C3A73">
            <w:pPr>
              <w:pStyle w:val="Listenabsatz"/>
              <w:numPr>
                <w:ilvl w:val="0"/>
                <w:numId w:val="6"/>
              </w:numPr>
              <w:rPr>
                <w:rFonts w:cs="Arial"/>
              </w:rPr>
            </w:pPr>
            <w:r w:rsidRPr="00596E3B">
              <w:rPr>
                <w:rFonts w:cs="Arial"/>
              </w:rPr>
              <w:t>Er überweist den Kaufpreis von se</w:t>
            </w:r>
            <w:r w:rsidR="00B15C4A">
              <w:rPr>
                <w:rFonts w:cs="Arial"/>
              </w:rPr>
              <w:t xml:space="preserve">inem Girokonto bei der </w:t>
            </w:r>
            <w:proofErr w:type="spellStart"/>
            <w:r w:rsidR="00B15C4A">
              <w:rPr>
                <w:rFonts w:cs="Arial"/>
              </w:rPr>
              <w:t>Sparbank</w:t>
            </w:r>
            <w:proofErr w:type="spellEnd"/>
            <w:r w:rsidR="00B15C4A">
              <w:rPr>
                <w:rFonts w:cs="Arial"/>
              </w:rPr>
              <w:t> </w:t>
            </w:r>
            <w:r w:rsidRPr="00596E3B">
              <w:rPr>
                <w:rFonts w:cs="Arial"/>
              </w:rPr>
              <w:t>AG auf das Geschäftskonto</w:t>
            </w:r>
            <w:r w:rsidR="00B15C4A">
              <w:rPr>
                <w:rFonts w:cs="Arial"/>
              </w:rPr>
              <w:t xml:space="preserve"> des Autohauses bei der XY-Bank </w:t>
            </w:r>
            <w:r w:rsidRPr="00596E3B">
              <w:rPr>
                <w:rFonts w:cs="Arial"/>
              </w:rPr>
              <w:t xml:space="preserve">AG. </w:t>
            </w:r>
            <w:r>
              <w:rPr>
                <w:rFonts w:cs="Arial"/>
              </w:rPr>
              <w:br/>
            </w:r>
            <w:r w:rsidR="00243F01">
              <w:rPr>
                <w:rFonts w:cs="Arial"/>
              </w:rPr>
              <w:t>Problem: D</w:t>
            </w:r>
            <w:r w:rsidR="00B15C4A">
              <w:rPr>
                <w:rFonts w:cs="Arial"/>
              </w:rPr>
              <w:t xml:space="preserve">ie </w:t>
            </w:r>
            <w:proofErr w:type="spellStart"/>
            <w:r w:rsidR="00B15C4A">
              <w:rPr>
                <w:rFonts w:cs="Arial"/>
              </w:rPr>
              <w:t>Sparbank</w:t>
            </w:r>
            <w:proofErr w:type="spellEnd"/>
            <w:r w:rsidR="00B15C4A">
              <w:rPr>
                <w:rFonts w:cs="Arial"/>
              </w:rPr>
              <w:t> </w:t>
            </w:r>
            <w:r w:rsidRPr="00596E3B">
              <w:rPr>
                <w:rFonts w:cs="Arial"/>
              </w:rPr>
              <w:t xml:space="preserve">AG benötigt hierzu, wie bei Möglichkeit (1), ein </w:t>
            </w:r>
            <w:r w:rsidR="00FA3C79">
              <w:rPr>
                <w:rFonts w:cs="Arial"/>
              </w:rPr>
              <w:t xml:space="preserve">ausreichendes </w:t>
            </w:r>
            <w:r w:rsidRPr="00596E3B">
              <w:rPr>
                <w:rFonts w:cs="Arial"/>
              </w:rPr>
              <w:t xml:space="preserve">Guthaben bei der Deutschen Bundesbank, sofern die Überweisung über </w:t>
            </w:r>
            <w:r w:rsidR="00FA3C79">
              <w:rPr>
                <w:rFonts w:cs="Arial"/>
              </w:rPr>
              <w:t xml:space="preserve">die </w:t>
            </w:r>
            <w:r w:rsidRPr="00596E3B">
              <w:rPr>
                <w:rFonts w:cs="Arial"/>
              </w:rPr>
              <w:t xml:space="preserve">Zentralbankkonten </w:t>
            </w:r>
            <w:r w:rsidR="00FA3C79">
              <w:rPr>
                <w:rFonts w:cs="Arial"/>
              </w:rPr>
              <w:t xml:space="preserve">der beiden beteiligten Banken </w:t>
            </w:r>
            <w:r w:rsidRPr="00596E3B">
              <w:rPr>
                <w:rFonts w:cs="Arial"/>
              </w:rPr>
              <w:t xml:space="preserve">verrechnet </w:t>
            </w:r>
            <w:r>
              <w:rPr>
                <w:rFonts w:cs="Arial"/>
              </w:rPr>
              <w:t>werden soll</w:t>
            </w:r>
            <w:r w:rsidRPr="00596E3B">
              <w:rPr>
                <w:rFonts w:cs="Arial"/>
              </w:rPr>
              <w:t>. Dieses</w:t>
            </w:r>
            <w:r>
              <w:rPr>
                <w:rFonts w:cs="Arial"/>
              </w:rPr>
              <w:t xml:space="preserve"> Guthaben</w:t>
            </w:r>
            <w:r w:rsidRPr="00596E3B">
              <w:rPr>
                <w:rFonts w:cs="Arial"/>
              </w:rPr>
              <w:t xml:space="preserve"> ist die Voraussetzung dafür, dass die Kundenüberweisung von</w:t>
            </w:r>
            <w:r>
              <w:rPr>
                <w:rFonts w:cs="Arial"/>
              </w:rPr>
              <w:t xml:space="preserve"> d</w:t>
            </w:r>
            <w:r w:rsidR="00B15C4A">
              <w:rPr>
                <w:rFonts w:cs="Arial"/>
              </w:rPr>
              <w:t xml:space="preserve">em Bundesbankkonto der </w:t>
            </w:r>
            <w:proofErr w:type="spellStart"/>
            <w:r w:rsidR="00B15C4A">
              <w:rPr>
                <w:rFonts w:cs="Arial"/>
              </w:rPr>
              <w:t>Sparbank</w:t>
            </w:r>
            <w:proofErr w:type="spellEnd"/>
            <w:r w:rsidR="00B15C4A">
              <w:rPr>
                <w:rFonts w:cs="Arial"/>
              </w:rPr>
              <w:t> </w:t>
            </w:r>
            <w:r>
              <w:rPr>
                <w:rFonts w:cs="Arial"/>
              </w:rPr>
              <w:t>AG auf das</w:t>
            </w:r>
            <w:r w:rsidRPr="00596E3B">
              <w:rPr>
                <w:rFonts w:cs="Arial"/>
              </w:rPr>
              <w:t xml:space="preserve"> Bundesbank</w:t>
            </w:r>
            <w:r>
              <w:rPr>
                <w:rFonts w:cs="Arial"/>
              </w:rPr>
              <w:t>konto der</w:t>
            </w:r>
            <w:r w:rsidR="00B15C4A">
              <w:rPr>
                <w:rFonts w:cs="Arial"/>
              </w:rPr>
              <w:t xml:space="preserve"> XY-Bank </w:t>
            </w:r>
            <w:r>
              <w:rPr>
                <w:rFonts w:cs="Arial"/>
              </w:rPr>
              <w:t xml:space="preserve">AG </w:t>
            </w:r>
            <w:r w:rsidR="006940BF">
              <w:rPr>
                <w:rFonts w:cs="Arial"/>
              </w:rPr>
              <w:t>weitergeleitet wird.</w:t>
            </w:r>
            <w:r>
              <w:rPr>
                <w:rFonts w:cs="Arial"/>
              </w:rPr>
              <w:br/>
            </w:r>
          </w:p>
          <w:p w14:paraId="0C4D7FA5" w14:textId="6CAC87AD" w:rsidR="005A298C" w:rsidRPr="006940BF" w:rsidRDefault="005A298C" w:rsidP="006940BF">
            <w:pPr>
              <w:tabs>
                <w:tab w:val="left" w:pos="365"/>
              </w:tabs>
              <w:rPr>
                <w:rFonts w:cs="Arial"/>
              </w:rPr>
            </w:pPr>
          </w:p>
          <w:p w14:paraId="14268A20" w14:textId="56487119" w:rsidR="005A298C" w:rsidRPr="00125E00" w:rsidRDefault="00125E00" w:rsidP="007C3A73">
            <w:pPr>
              <w:rPr>
                <w:rFonts w:cs="Arial"/>
                <w:i/>
                <w:iCs/>
              </w:rPr>
            </w:pPr>
            <w:r>
              <w:rPr>
                <w:rFonts w:cs="Arial"/>
              </w:rPr>
              <w:t xml:space="preserve">* </w:t>
            </w:r>
            <w:r w:rsidRPr="00125E00">
              <w:rPr>
                <w:rFonts w:cs="Arial"/>
                <w:i/>
                <w:iCs/>
              </w:rPr>
              <w:t>Hinweis: Die EZB und die nationalen Zentralbanken der Mitgliedstaaten, die den Euro eingeführt haben, bilden das Eurosystem.</w:t>
            </w:r>
          </w:p>
          <w:p w14:paraId="258DB569" w14:textId="77777777" w:rsidR="005A298C" w:rsidRDefault="005A298C" w:rsidP="007C3A73">
            <w:pPr>
              <w:rPr>
                <w:rFonts w:cs="Arial"/>
              </w:rPr>
            </w:pPr>
          </w:p>
          <w:p w14:paraId="3A42524B" w14:textId="77777777" w:rsidR="006940BF" w:rsidRDefault="006940BF" w:rsidP="007C3A73">
            <w:pPr>
              <w:rPr>
                <w:rFonts w:cs="Arial"/>
              </w:rPr>
            </w:pPr>
          </w:p>
          <w:p w14:paraId="26C77B74" w14:textId="3350DD2A" w:rsidR="00F175CF" w:rsidRDefault="00F175CF" w:rsidP="007C3A73">
            <w:pPr>
              <w:rPr>
                <w:rFonts w:cs="Arial"/>
              </w:rPr>
            </w:pPr>
          </w:p>
          <w:p w14:paraId="1F064DA5" w14:textId="6F2CDA81" w:rsidR="005A298C" w:rsidRDefault="005A298C" w:rsidP="007C3A73">
            <w:pPr>
              <w:rPr>
                <w:rFonts w:cs="Arial"/>
              </w:rPr>
            </w:pPr>
            <w:r>
              <w:rPr>
                <w:rFonts w:cs="Arial"/>
              </w:rPr>
              <w:t>Annahme: Kurt Meyer entscheidet sich für Möglichkeit (3).</w:t>
            </w:r>
          </w:p>
          <w:p w14:paraId="4FDD78B3" w14:textId="77777777" w:rsidR="005A298C" w:rsidRDefault="005A298C" w:rsidP="007C3A73">
            <w:pPr>
              <w:rPr>
                <w:rFonts w:cs="Arial"/>
              </w:rPr>
            </w:pPr>
          </w:p>
          <w:p w14:paraId="7E6C48FC" w14:textId="5CC852EA" w:rsidR="005A298C" w:rsidRDefault="005A298C" w:rsidP="007C3A73">
            <w:pPr>
              <w:rPr>
                <w:rFonts w:cs="Arial"/>
              </w:rPr>
            </w:pPr>
            <w:r>
              <w:rPr>
                <w:rFonts w:cs="Arial"/>
              </w:rPr>
              <w:t>Fortsetzung der buchungstechnischen Darstellung des Kreditschöpfungsvorgangs</w:t>
            </w:r>
            <w:r w:rsidR="00202E75">
              <w:rPr>
                <w:rFonts w:cs="Arial"/>
              </w:rPr>
              <w:t xml:space="preserve"> (</w:t>
            </w:r>
            <w:r w:rsidR="00202E75" w:rsidRPr="00202E75">
              <w:rPr>
                <w:rFonts w:cs="Arial"/>
                <w:i/>
                <w:iCs/>
              </w:rPr>
              <w:t>Ausgangssituation der Kreditvergabe an Kurt Meyer in kursiver Schrift</w:t>
            </w:r>
            <w:r w:rsidR="00202E75">
              <w:rPr>
                <w:rFonts w:cs="Arial"/>
              </w:rPr>
              <w:t>)</w:t>
            </w:r>
            <w:r w:rsidR="006940BF">
              <w:rPr>
                <w:rFonts w:cs="Arial"/>
              </w:rPr>
              <w:t>:</w:t>
            </w:r>
          </w:p>
          <w:p w14:paraId="1B38E336" w14:textId="77777777" w:rsidR="005A298C" w:rsidRPr="00F92272" w:rsidRDefault="005A298C" w:rsidP="007C3A73">
            <w:pPr>
              <w:rPr>
                <w:rFonts w:cs="Arial"/>
              </w:rPr>
            </w:pPr>
          </w:p>
          <w:tbl>
            <w:tblPr>
              <w:tblW w:w="9236" w:type="dxa"/>
              <w:tblCellMar>
                <w:left w:w="70" w:type="dxa"/>
                <w:right w:w="70" w:type="dxa"/>
              </w:tblCellMar>
              <w:tblLook w:val="04A0" w:firstRow="1" w:lastRow="0" w:firstColumn="1" w:lastColumn="0" w:noHBand="0" w:noVBand="1"/>
            </w:tblPr>
            <w:tblGrid>
              <w:gridCol w:w="1043"/>
              <w:gridCol w:w="397"/>
              <w:gridCol w:w="850"/>
              <w:gridCol w:w="1276"/>
              <w:gridCol w:w="142"/>
              <w:gridCol w:w="850"/>
              <w:gridCol w:w="284"/>
              <w:gridCol w:w="992"/>
              <w:gridCol w:w="283"/>
              <w:gridCol w:w="851"/>
              <w:gridCol w:w="1346"/>
              <w:gridCol w:w="54"/>
              <w:gridCol w:w="868"/>
            </w:tblGrid>
            <w:tr w:rsidR="00F751F0" w:rsidRPr="00813E47" w14:paraId="071A4128" w14:textId="77777777" w:rsidTr="001222B1">
              <w:trPr>
                <w:trHeight w:val="315"/>
              </w:trPr>
              <w:tc>
                <w:tcPr>
                  <w:tcW w:w="1043" w:type="dxa"/>
                  <w:tcBorders>
                    <w:top w:val="nil"/>
                    <w:left w:val="nil"/>
                    <w:bottom w:val="single" w:sz="8" w:space="0" w:color="auto"/>
                    <w:right w:val="nil"/>
                  </w:tcBorders>
                  <w:shd w:val="clear" w:color="auto" w:fill="auto"/>
                  <w:noWrap/>
                  <w:vAlign w:val="bottom"/>
                  <w:hideMark/>
                </w:tcPr>
                <w:p w14:paraId="4050DC9E" w14:textId="77777777" w:rsidR="00F751F0" w:rsidRPr="00813E47" w:rsidRDefault="00F751F0" w:rsidP="00F751F0">
                  <w:pPr>
                    <w:rPr>
                      <w:rFonts w:cs="Arial"/>
                      <w:color w:val="000000"/>
                      <w:sz w:val="18"/>
                      <w:szCs w:val="18"/>
                    </w:rPr>
                  </w:pPr>
                  <w:r>
                    <w:rPr>
                      <w:rFonts w:cs="Arial"/>
                      <w:color w:val="000000"/>
                      <w:sz w:val="18"/>
                      <w:szCs w:val="18"/>
                    </w:rPr>
                    <w:t>Aktiva</w:t>
                  </w:r>
                </w:p>
              </w:tc>
              <w:tc>
                <w:tcPr>
                  <w:tcW w:w="2523" w:type="dxa"/>
                  <w:gridSpan w:val="3"/>
                  <w:tcBorders>
                    <w:top w:val="nil"/>
                    <w:left w:val="nil"/>
                    <w:bottom w:val="single" w:sz="8" w:space="0" w:color="auto"/>
                    <w:right w:val="nil"/>
                  </w:tcBorders>
                  <w:shd w:val="clear" w:color="auto" w:fill="auto"/>
                  <w:noWrap/>
                  <w:vAlign w:val="bottom"/>
                  <w:hideMark/>
                </w:tcPr>
                <w:p w14:paraId="6F37ED4D" w14:textId="77777777" w:rsidR="00F751F0" w:rsidRDefault="00F751F0" w:rsidP="00912F3F">
                  <w:pPr>
                    <w:spacing w:after="0" w:line="240" w:lineRule="auto"/>
                    <w:jc w:val="center"/>
                    <w:rPr>
                      <w:rFonts w:cs="Arial"/>
                      <w:color w:val="000000"/>
                      <w:sz w:val="18"/>
                      <w:szCs w:val="18"/>
                    </w:rPr>
                  </w:pPr>
                  <w:r>
                    <w:rPr>
                      <w:rFonts w:cs="Arial"/>
                      <w:color w:val="000000"/>
                      <w:sz w:val="18"/>
                      <w:szCs w:val="18"/>
                    </w:rPr>
                    <w:t>Kurt Meyer</w:t>
                  </w:r>
                </w:p>
                <w:p w14:paraId="792C6BD1" w14:textId="4B62CE8B" w:rsidR="00912F3F" w:rsidRPr="00813E47" w:rsidRDefault="00912F3F" w:rsidP="00912F3F">
                  <w:pPr>
                    <w:spacing w:after="0" w:line="240" w:lineRule="auto"/>
                    <w:jc w:val="center"/>
                    <w:rPr>
                      <w:rFonts w:cs="Arial"/>
                      <w:color w:val="000000"/>
                      <w:sz w:val="18"/>
                      <w:szCs w:val="18"/>
                    </w:rPr>
                  </w:pPr>
                  <w:r>
                    <w:rPr>
                      <w:rFonts w:cs="Arial"/>
                      <w:color w:val="000000"/>
                      <w:sz w:val="18"/>
                      <w:szCs w:val="18"/>
                    </w:rPr>
                    <w:t>(in EUR)</w:t>
                  </w:r>
                </w:p>
              </w:tc>
              <w:tc>
                <w:tcPr>
                  <w:tcW w:w="992" w:type="dxa"/>
                  <w:gridSpan w:val="2"/>
                  <w:tcBorders>
                    <w:top w:val="nil"/>
                    <w:left w:val="nil"/>
                    <w:bottom w:val="single" w:sz="8" w:space="0" w:color="auto"/>
                    <w:right w:val="nil"/>
                  </w:tcBorders>
                  <w:shd w:val="clear" w:color="auto" w:fill="auto"/>
                  <w:noWrap/>
                  <w:vAlign w:val="bottom"/>
                  <w:hideMark/>
                </w:tcPr>
                <w:p w14:paraId="383129A3" w14:textId="77777777" w:rsidR="00F751F0" w:rsidRPr="00813E47" w:rsidRDefault="00F751F0" w:rsidP="00F751F0">
                  <w:pPr>
                    <w:jc w:val="right"/>
                    <w:rPr>
                      <w:rFonts w:cs="Arial"/>
                      <w:color w:val="000000"/>
                      <w:sz w:val="18"/>
                      <w:szCs w:val="18"/>
                    </w:rPr>
                  </w:pPr>
                  <w:r>
                    <w:rPr>
                      <w:rFonts w:cs="Arial"/>
                      <w:color w:val="000000"/>
                      <w:sz w:val="18"/>
                      <w:szCs w:val="18"/>
                    </w:rPr>
                    <w:t>Passiva</w:t>
                  </w:r>
                </w:p>
              </w:tc>
              <w:tc>
                <w:tcPr>
                  <w:tcW w:w="284" w:type="dxa"/>
                  <w:tcBorders>
                    <w:top w:val="nil"/>
                    <w:left w:val="nil"/>
                    <w:bottom w:val="nil"/>
                    <w:right w:val="nil"/>
                  </w:tcBorders>
                  <w:shd w:val="clear" w:color="auto" w:fill="auto"/>
                  <w:noWrap/>
                  <w:vAlign w:val="bottom"/>
                  <w:hideMark/>
                </w:tcPr>
                <w:p w14:paraId="51171DAB" w14:textId="77777777" w:rsidR="00F751F0" w:rsidRPr="00813E47" w:rsidRDefault="00F751F0" w:rsidP="00F751F0">
                  <w:pPr>
                    <w:jc w:val="right"/>
                    <w:rPr>
                      <w:rFonts w:cs="Arial"/>
                      <w:color w:val="000000"/>
                      <w:sz w:val="18"/>
                      <w:szCs w:val="18"/>
                    </w:rPr>
                  </w:pPr>
                </w:p>
              </w:tc>
              <w:tc>
                <w:tcPr>
                  <w:tcW w:w="992" w:type="dxa"/>
                  <w:tcBorders>
                    <w:top w:val="nil"/>
                    <w:left w:val="nil"/>
                    <w:bottom w:val="single" w:sz="8" w:space="0" w:color="auto"/>
                    <w:right w:val="nil"/>
                  </w:tcBorders>
                  <w:shd w:val="clear" w:color="auto" w:fill="auto"/>
                  <w:noWrap/>
                  <w:vAlign w:val="bottom"/>
                  <w:hideMark/>
                </w:tcPr>
                <w:p w14:paraId="7ED9FF96" w14:textId="77777777" w:rsidR="00F751F0" w:rsidRPr="00813E47" w:rsidRDefault="00F751F0" w:rsidP="00F751F0">
                  <w:pPr>
                    <w:rPr>
                      <w:rFonts w:cs="Arial"/>
                      <w:color w:val="000000"/>
                      <w:sz w:val="18"/>
                      <w:szCs w:val="18"/>
                    </w:rPr>
                  </w:pPr>
                  <w:r>
                    <w:rPr>
                      <w:rFonts w:cs="Arial"/>
                      <w:color w:val="000000"/>
                      <w:sz w:val="18"/>
                      <w:szCs w:val="18"/>
                    </w:rPr>
                    <w:t>Aktiva</w:t>
                  </w:r>
                </w:p>
              </w:tc>
              <w:tc>
                <w:tcPr>
                  <w:tcW w:w="2480" w:type="dxa"/>
                  <w:gridSpan w:val="3"/>
                  <w:tcBorders>
                    <w:top w:val="nil"/>
                    <w:left w:val="nil"/>
                    <w:bottom w:val="single" w:sz="8" w:space="0" w:color="auto"/>
                    <w:right w:val="nil"/>
                  </w:tcBorders>
                  <w:shd w:val="clear" w:color="auto" w:fill="auto"/>
                  <w:noWrap/>
                  <w:vAlign w:val="bottom"/>
                  <w:hideMark/>
                </w:tcPr>
                <w:p w14:paraId="4E097A03" w14:textId="77777777" w:rsidR="00F751F0" w:rsidRDefault="00F751F0" w:rsidP="00912F3F">
                  <w:pPr>
                    <w:spacing w:after="0" w:line="240" w:lineRule="auto"/>
                    <w:jc w:val="center"/>
                    <w:rPr>
                      <w:rFonts w:cs="Arial"/>
                      <w:sz w:val="18"/>
                      <w:szCs w:val="18"/>
                    </w:rPr>
                  </w:pPr>
                  <w:proofErr w:type="spellStart"/>
                  <w:r>
                    <w:rPr>
                      <w:rFonts w:cs="Arial"/>
                      <w:sz w:val="18"/>
                      <w:szCs w:val="18"/>
                    </w:rPr>
                    <w:t>Sparbank</w:t>
                  </w:r>
                  <w:proofErr w:type="spellEnd"/>
                  <w:r>
                    <w:rPr>
                      <w:rFonts w:cs="Arial"/>
                      <w:sz w:val="18"/>
                      <w:szCs w:val="18"/>
                    </w:rPr>
                    <w:t xml:space="preserve"> AG</w:t>
                  </w:r>
                </w:p>
                <w:p w14:paraId="0C2F0EDD" w14:textId="2F6A3052" w:rsidR="00912F3F" w:rsidRPr="00813E47" w:rsidRDefault="00912F3F" w:rsidP="00912F3F">
                  <w:pPr>
                    <w:spacing w:after="0" w:line="240" w:lineRule="auto"/>
                    <w:jc w:val="center"/>
                    <w:rPr>
                      <w:rFonts w:cs="Arial"/>
                      <w:color w:val="000000"/>
                      <w:sz w:val="18"/>
                      <w:szCs w:val="18"/>
                    </w:rPr>
                  </w:pPr>
                  <w:r>
                    <w:rPr>
                      <w:rFonts w:cs="Arial"/>
                      <w:color w:val="000000"/>
                      <w:sz w:val="18"/>
                      <w:szCs w:val="18"/>
                    </w:rPr>
                    <w:t>(in EUR)</w:t>
                  </w:r>
                </w:p>
              </w:tc>
              <w:tc>
                <w:tcPr>
                  <w:tcW w:w="922" w:type="dxa"/>
                  <w:gridSpan w:val="2"/>
                  <w:tcBorders>
                    <w:top w:val="nil"/>
                    <w:left w:val="nil"/>
                    <w:bottom w:val="single" w:sz="8" w:space="0" w:color="auto"/>
                    <w:right w:val="nil"/>
                  </w:tcBorders>
                  <w:shd w:val="clear" w:color="auto" w:fill="auto"/>
                  <w:noWrap/>
                  <w:vAlign w:val="bottom"/>
                  <w:hideMark/>
                </w:tcPr>
                <w:p w14:paraId="0459E105" w14:textId="77777777" w:rsidR="00F751F0" w:rsidRPr="00813E47" w:rsidRDefault="00F751F0" w:rsidP="00F751F0">
                  <w:pPr>
                    <w:jc w:val="right"/>
                    <w:rPr>
                      <w:rFonts w:cs="Arial"/>
                      <w:color w:val="000000"/>
                      <w:sz w:val="18"/>
                      <w:szCs w:val="18"/>
                    </w:rPr>
                  </w:pPr>
                  <w:r>
                    <w:rPr>
                      <w:rFonts w:cs="Arial"/>
                      <w:color w:val="000000"/>
                      <w:sz w:val="18"/>
                      <w:szCs w:val="18"/>
                    </w:rPr>
                    <w:t>Passiva</w:t>
                  </w:r>
                </w:p>
              </w:tc>
            </w:tr>
            <w:tr w:rsidR="00F751F0" w:rsidRPr="00E0513E" w14:paraId="47814CE1" w14:textId="77777777" w:rsidTr="00F751F0">
              <w:trPr>
                <w:trHeight w:val="300"/>
              </w:trPr>
              <w:tc>
                <w:tcPr>
                  <w:tcW w:w="1440" w:type="dxa"/>
                  <w:gridSpan w:val="2"/>
                  <w:tcBorders>
                    <w:top w:val="nil"/>
                    <w:left w:val="nil"/>
                    <w:bottom w:val="nil"/>
                    <w:right w:val="nil"/>
                  </w:tcBorders>
                  <w:shd w:val="clear" w:color="auto" w:fill="auto"/>
                  <w:noWrap/>
                </w:tcPr>
                <w:p w14:paraId="154241D3" w14:textId="77777777" w:rsidR="00F751F0" w:rsidRDefault="00F751F0" w:rsidP="00F751F0">
                  <w:pPr>
                    <w:spacing w:after="0"/>
                    <w:rPr>
                      <w:rFonts w:cs="Arial"/>
                      <w:sz w:val="18"/>
                      <w:szCs w:val="18"/>
                    </w:rPr>
                  </w:pPr>
                </w:p>
                <w:p w14:paraId="29E3E829" w14:textId="77777777" w:rsidR="00F751F0" w:rsidRDefault="00F751F0" w:rsidP="00F751F0">
                  <w:pPr>
                    <w:spacing w:after="0"/>
                    <w:rPr>
                      <w:rFonts w:cs="Arial"/>
                      <w:sz w:val="18"/>
                      <w:szCs w:val="18"/>
                    </w:rPr>
                  </w:pPr>
                </w:p>
                <w:p w14:paraId="274E42B0" w14:textId="69AB7ED1" w:rsidR="00F751F0" w:rsidRPr="00F751F0" w:rsidRDefault="00F751F0" w:rsidP="00F751F0">
                  <w:pPr>
                    <w:spacing w:after="0"/>
                    <w:rPr>
                      <w:rFonts w:cs="Arial"/>
                      <w:i/>
                      <w:sz w:val="18"/>
                      <w:szCs w:val="18"/>
                    </w:rPr>
                  </w:pPr>
                  <w:r w:rsidRPr="00F751F0">
                    <w:rPr>
                      <w:rFonts w:cs="Arial"/>
                      <w:i/>
                      <w:sz w:val="18"/>
                      <w:szCs w:val="18"/>
                    </w:rPr>
                    <w:t>Sichteinlage</w:t>
                  </w:r>
                </w:p>
                <w:p w14:paraId="732D0578" w14:textId="2A3F124B" w:rsidR="00F751F0" w:rsidRDefault="00F751F0" w:rsidP="00F751F0">
                  <w:pPr>
                    <w:spacing w:after="0"/>
                    <w:rPr>
                      <w:rFonts w:cs="Arial"/>
                      <w:sz w:val="18"/>
                      <w:szCs w:val="18"/>
                    </w:rPr>
                  </w:pPr>
                </w:p>
                <w:p w14:paraId="37C56DE3" w14:textId="77777777" w:rsidR="00F751F0" w:rsidRDefault="00F751F0" w:rsidP="00F751F0">
                  <w:pPr>
                    <w:spacing w:after="0"/>
                    <w:rPr>
                      <w:rFonts w:cs="Arial"/>
                      <w:sz w:val="18"/>
                      <w:szCs w:val="18"/>
                    </w:rPr>
                  </w:pPr>
                  <w:r>
                    <w:rPr>
                      <w:rFonts w:cs="Arial"/>
                      <w:sz w:val="18"/>
                      <w:szCs w:val="18"/>
                    </w:rPr>
                    <w:t>Sichteinlage</w:t>
                  </w:r>
                </w:p>
                <w:p w14:paraId="50AD9B9D" w14:textId="18C03A2A" w:rsidR="00F751F0" w:rsidRDefault="00F751F0" w:rsidP="00F751F0">
                  <w:pPr>
                    <w:spacing w:after="0"/>
                    <w:rPr>
                      <w:rFonts w:cs="Arial"/>
                      <w:sz w:val="18"/>
                      <w:szCs w:val="18"/>
                    </w:rPr>
                  </w:pPr>
                </w:p>
                <w:p w14:paraId="2CFBAD19" w14:textId="2351C76A" w:rsidR="00F751F0" w:rsidRDefault="00F751F0" w:rsidP="00F751F0">
                  <w:pPr>
                    <w:spacing w:after="0"/>
                    <w:rPr>
                      <w:rFonts w:cs="Arial"/>
                      <w:sz w:val="18"/>
                      <w:szCs w:val="18"/>
                    </w:rPr>
                  </w:pPr>
                  <w:r>
                    <w:rPr>
                      <w:rFonts w:cs="Arial"/>
                      <w:sz w:val="18"/>
                      <w:szCs w:val="18"/>
                    </w:rPr>
                    <w:t>Sachwert</w:t>
                  </w:r>
                </w:p>
                <w:p w14:paraId="21842784" w14:textId="77777777" w:rsidR="00F751F0" w:rsidRDefault="00F751F0" w:rsidP="00F751F0">
                  <w:pPr>
                    <w:spacing w:after="0"/>
                    <w:rPr>
                      <w:rFonts w:cs="Arial"/>
                      <w:sz w:val="18"/>
                      <w:szCs w:val="18"/>
                    </w:rPr>
                  </w:pPr>
                </w:p>
                <w:p w14:paraId="006132F5" w14:textId="77777777" w:rsidR="00F751F0" w:rsidRPr="00E0513E" w:rsidRDefault="00F751F0" w:rsidP="00F751F0">
                  <w:pPr>
                    <w:spacing w:after="0"/>
                    <w:rPr>
                      <w:rFonts w:cs="Arial"/>
                      <w:sz w:val="18"/>
                      <w:szCs w:val="18"/>
                    </w:rPr>
                  </w:pPr>
                </w:p>
              </w:tc>
              <w:tc>
                <w:tcPr>
                  <w:tcW w:w="850" w:type="dxa"/>
                  <w:tcBorders>
                    <w:top w:val="nil"/>
                    <w:left w:val="nil"/>
                    <w:bottom w:val="nil"/>
                    <w:right w:val="single" w:sz="4" w:space="0" w:color="auto"/>
                  </w:tcBorders>
                  <w:shd w:val="clear" w:color="auto" w:fill="auto"/>
                  <w:noWrap/>
                </w:tcPr>
                <w:p w14:paraId="2BEC8C64" w14:textId="77777777" w:rsidR="00F751F0" w:rsidRDefault="00F751F0" w:rsidP="00F751F0">
                  <w:pPr>
                    <w:spacing w:after="0"/>
                    <w:jc w:val="right"/>
                    <w:rPr>
                      <w:rFonts w:cs="Arial"/>
                      <w:sz w:val="18"/>
                      <w:szCs w:val="18"/>
                    </w:rPr>
                  </w:pPr>
                </w:p>
                <w:p w14:paraId="2CD29253" w14:textId="77777777" w:rsidR="00F751F0" w:rsidRDefault="00F751F0" w:rsidP="00F751F0">
                  <w:pPr>
                    <w:spacing w:after="0"/>
                    <w:jc w:val="right"/>
                    <w:rPr>
                      <w:rFonts w:cs="Arial"/>
                      <w:sz w:val="18"/>
                      <w:szCs w:val="18"/>
                    </w:rPr>
                  </w:pPr>
                </w:p>
                <w:p w14:paraId="10929F1C" w14:textId="77777777" w:rsidR="00F751F0" w:rsidRPr="00F751F0" w:rsidRDefault="00F751F0" w:rsidP="00F751F0">
                  <w:pPr>
                    <w:spacing w:after="0"/>
                    <w:jc w:val="right"/>
                    <w:rPr>
                      <w:rFonts w:cs="Arial"/>
                      <w:i/>
                      <w:sz w:val="18"/>
                      <w:szCs w:val="18"/>
                    </w:rPr>
                  </w:pPr>
                  <w:r w:rsidRPr="00F751F0">
                    <w:rPr>
                      <w:rFonts w:cs="Arial"/>
                      <w:i/>
                      <w:sz w:val="18"/>
                      <w:szCs w:val="18"/>
                    </w:rPr>
                    <w:t>20.000</w:t>
                  </w:r>
                </w:p>
                <w:p w14:paraId="1E0AAA38" w14:textId="77777777" w:rsidR="00F751F0" w:rsidRDefault="00F751F0" w:rsidP="00F751F0">
                  <w:pPr>
                    <w:spacing w:after="0"/>
                    <w:jc w:val="right"/>
                    <w:rPr>
                      <w:rFonts w:cs="Arial"/>
                      <w:sz w:val="18"/>
                      <w:szCs w:val="18"/>
                    </w:rPr>
                  </w:pPr>
                </w:p>
                <w:p w14:paraId="67B0F0A4" w14:textId="77777777" w:rsidR="00F751F0" w:rsidRDefault="00F751F0" w:rsidP="00F751F0">
                  <w:pPr>
                    <w:spacing w:after="0"/>
                    <w:jc w:val="right"/>
                    <w:rPr>
                      <w:rFonts w:cs="Arial"/>
                      <w:sz w:val="18"/>
                      <w:szCs w:val="18"/>
                    </w:rPr>
                  </w:pPr>
                  <w:r>
                    <w:rPr>
                      <w:rFonts w:cs="Arial"/>
                      <w:sz w:val="18"/>
                      <w:szCs w:val="18"/>
                    </w:rPr>
                    <w:t>- 20.000</w:t>
                  </w:r>
                </w:p>
                <w:p w14:paraId="382437E8" w14:textId="77777777" w:rsidR="00F751F0" w:rsidRDefault="00F751F0" w:rsidP="00F751F0">
                  <w:pPr>
                    <w:spacing w:after="0"/>
                    <w:jc w:val="right"/>
                    <w:rPr>
                      <w:rFonts w:cs="Arial"/>
                      <w:sz w:val="18"/>
                      <w:szCs w:val="18"/>
                    </w:rPr>
                  </w:pPr>
                </w:p>
                <w:p w14:paraId="49234B46" w14:textId="4D21B7F2" w:rsidR="00F751F0" w:rsidRPr="00F751F0" w:rsidRDefault="00F751F0" w:rsidP="00F751F0">
                  <w:pPr>
                    <w:spacing w:after="0"/>
                    <w:jc w:val="right"/>
                    <w:rPr>
                      <w:rFonts w:cs="Arial"/>
                      <w:sz w:val="18"/>
                      <w:szCs w:val="18"/>
                    </w:rPr>
                  </w:pPr>
                  <w:r>
                    <w:rPr>
                      <w:rFonts w:cs="Arial"/>
                      <w:sz w:val="18"/>
                      <w:szCs w:val="18"/>
                    </w:rPr>
                    <w:t>20.000</w:t>
                  </w:r>
                </w:p>
              </w:tc>
              <w:tc>
                <w:tcPr>
                  <w:tcW w:w="1418" w:type="dxa"/>
                  <w:gridSpan w:val="2"/>
                  <w:tcBorders>
                    <w:top w:val="nil"/>
                    <w:left w:val="nil"/>
                    <w:bottom w:val="nil"/>
                    <w:right w:val="nil"/>
                  </w:tcBorders>
                  <w:shd w:val="clear" w:color="auto" w:fill="auto"/>
                  <w:noWrap/>
                </w:tcPr>
                <w:p w14:paraId="6A0B9345" w14:textId="77777777" w:rsidR="00F751F0" w:rsidRDefault="00F751F0" w:rsidP="00F751F0">
                  <w:pPr>
                    <w:spacing w:after="0"/>
                    <w:rPr>
                      <w:rFonts w:cs="Arial"/>
                      <w:sz w:val="18"/>
                      <w:szCs w:val="18"/>
                    </w:rPr>
                  </w:pPr>
                </w:p>
                <w:p w14:paraId="591DABE9" w14:textId="77777777" w:rsidR="00F751F0" w:rsidRDefault="00F751F0" w:rsidP="00F751F0">
                  <w:pPr>
                    <w:spacing w:after="0"/>
                    <w:rPr>
                      <w:rFonts w:cs="Arial"/>
                      <w:sz w:val="18"/>
                      <w:szCs w:val="18"/>
                    </w:rPr>
                  </w:pPr>
                </w:p>
                <w:p w14:paraId="49E74DF5" w14:textId="77777777" w:rsidR="00F751F0" w:rsidRDefault="00F751F0" w:rsidP="00F751F0">
                  <w:pPr>
                    <w:spacing w:after="0"/>
                    <w:rPr>
                      <w:rFonts w:cs="Arial"/>
                      <w:sz w:val="18"/>
                      <w:szCs w:val="18"/>
                    </w:rPr>
                  </w:pPr>
                </w:p>
                <w:p w14:paraId="6832BC5F" w14:textId="77777777" w:rsidR="00F751F0" w:rsidRDefault="00F751F0" w:rsidP="00F751F0">
                  <w:pPr>
                    <w:spacing w:after="0"/>
                    <w:rPr>
                      <w:rFonts w:cs="Arial"/>
                      <w:sz w:val="18"/>
                      <w:szCs w:val="18"/>
                    </w:rPr>
                  </w:pPr>
                </w:p>
                <w:p w14:paraId="6258EE6C" w14:textId="5F80B87F" w:rsidR="00F751F0" w:rsidRPr="004B1AAD" w:rsidRDefault="00F751F0" w:rsidP="00F751F0">
                  <w:pPr>
                    <w:spacing w:after="0"/>
                    <w:rPr>
                      <w:rFonts w:cs="Arial"/>
                      <w:i/>
                      <w:sz w:val="18"/>
                      <w:szCs w:val="18"/>
                    </w:rPr>
                  </w:pPr>
                  <w:r w:rsidRPr="004B1AAD">
                    <w:rPr>
                      <w:rFonts w:cs="Arial"/>
                      <w:i/>
                      <w:sz w:val="18"/>
                      <w:szCs w:val="18"/>
                    </w:rPr>
                    <w:t xml:space="preserve">Kredit bei der </w:t>
                  </w:r>
                  <w:r w:rsidRPr="004B1AAD">
                    <w:rPr>
                      <w:rFonts w:cs="Arial"/>
                      <w:i/>
                      <w:sz w:val="18"/>
                      <w:szCs w:val="18"/>
                    </w:rPr>
                    <w:br/>
                  </w:r>
                  <w:proofErr w:type="spellStart"/>
                  <w:r w:rsidRPr="004B1AAD">
                    <w:rPr>
                      <w:rFonts w:cs="Arial"/>
                      <w:i/>
                      <w:sz w:val="18"/>
                      <w:szCs w:val="18"/>
                    </w:rPr>
                    <w:t>Sparbank</w:t>
                  </w:r>
                  <w:proofErr w:type="spellEnd"/>
                </w:p>
                <w:p w14:paraId="08BF8AD7" w14:textId="77777777" w:rsidR="00F751F0" w:rsidRPr="00E0513E" w:rsidRDefault="00F751F0" w:rsidP="00F751F0">
                  <w:pPr>
                    <w:spacing w:after="0"/>
                    <w:rPr>
                      <w:rFonts w:cs="Arial"/>
                      <w:sz w:val="18"/>
                      <w:szCs w:val="18"/>
                    </w:rPr>
                  </w:pPr>
                </w:p>
              </w:tc>
              <w:tc>
                <w:tcPr>
                  <w:tcW w:w="850" w:type="dxa"/>
                  <w:tcBorders>
                    <w:top w:val="nil"/>
                    <w:left w:val="nil"/>
                    <w:bottom w:val="nil"/>
                    <w:right w:val="nil"/>
                  </w:tcBorders>
                  <w:shd w:val="clear" w:color="auto" w:fill="auto"/>
                  <w:noWrap/>
                </w:tcPr>
                <w:p w14:paraId="373E1945" w14:textId="77777777" w:rsidR="00F751F0" w:rsidRDefault="00F751F0" w:rsidP="00F751F0">
                  <w:pPr>
                    <w:spacing w:after="0"/>
                    <w:jc w:val="right"/>
                    <w:rPr>
                      <w:rFonts w:cs="Arial"/>
                      <w:sz w:val="18"/>
                      <w:szCs w:val="18"/>
                    </w:rPr>
                  </w:pPr>
                </w:p>
                <w:p w14:paraId="645C4AA0" w14:textId="77777777" w:rsidR="00F751F0" w:rsidRDefault="00F751F0" w:rsidP="00F751F0">
                  <w:pPr>
                    <w:spacing w:after="0"/>
                    <w:jc w:val="right"/>
                    <w:rPr>
                      <w:rFonts w:cs="Arial"/>
                      <w:sz w:val="18"/>
                      <w:szCs w:val="18"/>
                    </w:rPr>
                  </w:pPr>
                </w:p>
                <w:p w14:paraId="43A7BECE" w14:textId="77777777" w:rsidR="00F751F0" w:rsidRDefault="00F751F0" w:rsidP="00F751F0">
                  <w:pPr>
                    <w:spacing w:after="0"/>
                    <w:jc w:val="right"/>
                    <w:rPr>
                      <w:rFonts w:cs="Arial"/>
                      <w:sz w:val="18"/>
                      <w:szCs w:val="18"/>
                    </w:rPr>
                  </w:pPr>
                </w:p>
                <w:p w14:paraId="1C77978C" w14:textId="77777777" w:rsidR="00F751F0" w:rsidRDefault="00F751F0" w:rsidP="00F751F0">
                  <w:pPr>
                    <w:spacing w:after="0"/>
                    <w:jc w:val="right"/>
                    <w:rPr>
                      <w:rFonts w:cs="Arial"/>
                      <w:sz w:val="18"/>
                      <w:szCs w:val="18"/>
                    </w:rPr>
                  </w:pPr>
                </w:p>
                <w:p w14:paraId="22E2C364" w14:textId="77777777" w:rsidR="00F751F0" w:rsidRDefault="00F751F0" w:rsidP="00F751F0">
                  <w:pPr>
                    <w:spacing w:after="0"/>
                    <w:jc w:val="right"/>
                    <w:rPr>
                      <w:rFonts w:cs="Arial"/>
                      <w:sz w:val="18"/>
                      <w:szCs w:val="18"/>
                    </w:rPr>
                  </w:pPr>
                </w:p>
                <w:p w14:paraId="154FC725" w14:textId="31BFB72B" w:rsidR="00F751F0" w:rsidRPr="004B1AAD" w:rsidRDefault="00F751F0" w:rsidP="00F751F0">
                  <w:pPr>
                    <w:spacing w:after="0"/>
                    <w:jc w:val="right"/>
                    <w:rPr>
                      <w:rFonts w:cs="Arial"/>
                      <w:i/>
                      <w:sz w:val="18"/>
                      <w:szCs w:val="18"/>
                    </w:rPr>
                  </w:pPr>
                  <w:r w:rsidRPr="004B1AAD">
                    <w:rPr>
                      <w:rFonts w:cs="Arial"/>
                      <w:i/>
                      <w:sz w:val="18"/>
                      <w:szCs w:val="18"/>
                    </w:rPr>
                    <w:t>20.000</w:t>
                  </w:r>
                </w:p>
              </w:tc>
              <w:tc>
                <w:tcPr>
                  <w:tcW w:w="284" w:type="dxa"/>
                  <w:tcBorders>
                    <w:top w:val="nil"/>
                    <w:left w:val="nil"/>
                    <w:bottom w:val="nil"/>
                    <w:right w:val="nil"/>
                  </w:tcBorders>
                  <w:shd w:val="clear" w:color="auto" w:fill="auto"/>
                  <w:noWrap/>
                  <w:hideMark/>
                </w:tcPr>
                <w:p w14:paraId="309795E8" w14:textId="77777777" w:rsidR="00F751F0" w:rsidRPr="00813E47" w:rsidRDefault="00F751F0" w:rsidP="00F751F0">
                  <w:pPr>
                    <w:spacing w:after="0"/>
                    <w:rPr>
                      <w:rFonts w:cs="Arial"/>
                      <w:color w:val="000000"/>
                      <w:sz w:val="18"/>
                      <w:szCs w:val="18"/>
                    </w:rPr>
                  </w:pPr>
                </w:p>
              </w:tc>
              <w:tc>
                <w:tcPr>
                  <w:tcW w:w="1275" w:type="dxa"/>
                  <w:gridSpan w:val="2"/>
                  <w:tcBorders>
                    <w:top w:val="nil"/>
                    <w:left w:val="nil"/>
                    <w:bottom w:val="nil"/>
                    <w:right w:val="nil"/>
                  </w:tcBorders>
                  <w:shd w:val="clear" w:color="auto" w:fill="auto"/>
                  <w:noWrap/>
                  <w:hideMark/>
                </w:tcPr>
                <w:p w14:paraId="22A866B8" w14:textId="77777777" w:rsidR="00F751F0" w:rsidRPr="00F751F0" w:rsidRDefault="00F751F0" w:rsidP="00F751F0">
                  <w:pPr>
                    <w:spacing w:after="0"/>
                    <w:rPr>
                      <w:rFonts w:cs="Arial"/>
                      <w:i/>
                      <w:sz w:val="18"/>
                      <w:szCs w:val="18"/>
                    </w:rPr>
                  </w:pPr>
                  <w:r w:rsidRPr="00F751F0">
                    <w:rPr>
                      <w:rFonts w:cs="Arial"/>
                      <w:i/>
                      <w:sz w:val="18"/>
                      <w:szCs w:val="18"/>
                    </w:rPr>
                    <w:t xml:space="preserve">Kredit an </w:t>
                  </w:r>
                  <w:r w:rsidRPr="00F751F0">
                    <w:rPr>
                      <w:rFonts w:cs="Arial"/>
                      <w:i/>
                      <w:sz w:val="18"/>
                      <w:szCs w:val="18"/>
                    </w:rPr>
                    <w:br/>
                    <w:t>Kurt Meyer</w:t>
                  </w:r>
                </w:p>
                <w:p w14:paraId="1407A57F" w14:textId="77777777" w:rsidR="00F751F0" w:rsidRDefault="00F751F0" w:rsidP="00F751F0">
                  <w:pPr>
                    <w:spacing w:after="0"/>
                    <w:rPr>
                      <w:rFonts w:cs="Arial"/>
                      <w:sz w:val="18"/>
                      <w:szCs w:val="18"/>
                    </w:rPr>
                  </w:pPr>
                </w:p>
                <w:p w14:paraId="6D45A5A1" w14:textId="4E874B04" w:rsidR="00F751F0" w:rsidRPr="00E0513E" w:rsidRDefault="00F751F0" w:rsidP="00F751F0">
                  <w:pPr>
                    <w:spacing w:after="0"/>
                    <w:rPr>
                      <w:rFonts w:cs="Arial"/>
                      <w:sz w:val="18"/>
                      <w:szCs w:val="18"/>
                    </w:rPr>
                  </w:pPr>
                  <w:r>
                    <w:rPr>
                      <w:rFonts w:cs="Arial"/>
                      <w:sz w:val="18"/>
                      <w:szCs w:val="18"/>
                    </w:rPr>
                    <w:t>Zentralbankguthaben</w:t>
                  </w:r>
                </w:p>
              </w:tc>
              <w:tc>
                <w:tcPr>
                  <w:tcW w:w="851" w:type="dxa"/>
                  <w:tcBorders>
                    <w:top w:val="nil"/>
                    <w:left w:val="nil"/>
                    <w:bottom w:val="nil"/>
                    <w:right w:val="single" w:sz="4" w:space="0" w:color="auto"/>
                  </w:tcBorders>
                  <w:shd w:val="clear" w:color="auto" w:fill="auto"/>
                  <w:noWrap/>
                  <w:hideMark/>
                </w:tcPr>
                <w:p w14:paraId="62C068C7" w14:textId="77777777" w:rsidR="00F751F0" w:rsidRDefault="00F751F0" w:rsidP="00F751F0">
                  <w:pPr>
                    <w:spacing w:after="0"/>
                    <w:jc w:val="right"/>
                    <w:rPr>
                      <w:rFonts w:cs="Arial"/>
                      <w:sz w:val="18"/>
                      <w:szCs w:val="18"/>
                    </w:rPr>
                  </w:pPr>
                </w:p>
                <w:p w14:paraId="0A808046" w14:textId="66A1592E" w:rsidR="00F751F0" w:rsidRPr="00F751F0" w:rsidRDefault="00F751F0" w:rsidP="00F751F0">
                  <w:pPr>
                    <w:spacing w:after="0"/>
                    <w:jc w:val="right"/>
                    <w:rPr>
                      <w:rFonts w:cs="Arial"/>
                      <w:i/>
                      <w:sz w:val="18"/>
                      <w:szCs w:val="18"/>
                    </w:rPr>
                  </w:pPr>
                  <w:r w:rsidRPr="00F751F0">
                    <w:rPr>
                      <w:rFonts w:cs="Arial"/>
                      <w:i/>
                      <w:sz w:val="18"/>
                      <w:szCs w:val="18"/>
                    </w:rPr>
                    <w:t>20.000</w:t>
                  </w:r>
                </w:p>
                <w:p w14:paraId="56E72A41" w14:textId="751DA9B1" w:rsidR="00F751F0" w:rsidRDefault="00F751F0" w:rsidP="00F751F0">
                  <w:pPr>
                    <w:spacing w:after="0"/>
                    <w:jc w:val="right"/>
                    <w:rPr>
                      <w:rFonts w:cs="Arial"/>
                      <w:sz w:val="18"/>
                      <w:szCs w:val="18"/>
                    </w:rPr>
                  </w:pPr>
                </w:p>
                <w:p w14:paraId="3E9715CB" w14:textId="77777777" w:rsidR="00F751F0" w:rsidRDefault="00F751F0" w:rsidP="00F751F0">
                  <w:pPr>
                    <w:spacing w:after="0"/>
                    <w:jc w:val="right"/>
                    <w:rPr>
                      <w:rFonts w:cs="Arial"/>
                      <w:sz w:val="18"/>
                      <w:szCs w:val="18"/>
                    </w:rPr>
                  </w:pPr>
                </w:p>
                <w:p w14:paraId="0E03EAE8" w14:textId="44E3E9BD" w:rsidR="00F751F0" w:rsidRDefault="00F751F0" w:rsidP="00F751F0">
                  <w:pPr>
                    <w:spacing w:after="0"/>
                    <w:jc w:val="right"/>
                    <w:rPr>
                      <w:rFonts w:cs="Arial"/>
                      <w:sz w:val="18"/>
                      <w:szCs w:val="18"/>
                    </w:rPr>
                  </w:pPr>
                  <w:r>
                    <w:rPr>
                      <w:rFonts w:cs="Arial"/>
                      <w:sz w:val="18"/>
                      <w:szCs w:val="18"/>
                    </w:rPr>
                    <w:t>- 20.000</w:t>
                  </w:r>
                </w:p>
                <w:p w14:paraId="7EC5B912" w14:textId="77777777" w:rsidR="00F751F0" w:rsidRPr="00E0513E" w:rsidRDefault="00F751F0" w:rsidP="00F751F0">
                  <w:pPr>
                    <w:spacing w:after="0"/>
                    <w:jc w:val="right"/>
                    <w:rPr>
                      <w:rFonts w:cs="Arial"/>
                      <w:sz w:val="18"/>
                      <w:szCs w:val="18"/>
                    </w:rPr>
                  </w:pPr>
                </w:p>
              </w:tc>
              <w:tc>
                <w:tcPr>
                  <w:tcW w:w="1400" w:type="dxa"/>
                  <w:gridSpan w:val="2"/>
                  <w:tcBorders>
                    <w:top w:val="nil"/>
                    <w:left w:val="nil"/>
                    <w:bottom w:val="nil"/>
                    <w:right w:val="nil"/>
                  </w:tcBorders>
                  <w:shd w:val="clear" w:color="auto" w:fill="auto"/>
                  <w:noWrap/>
                </w:tcPr>
                <w:p w14:paraId="0259D7DC" w14:textId="77777777" w:rsidR="00F751F0" w:rsidRDefault="00F751F0" w:rsidP="00F751F0">
                  <w:pPr>
                    <w:spacing w:after="0"/>
                    <w:rPr>
                      <w:rFonts w:cs="Arial"/>
                      <w:sz w:val="18"/>
                      <w:szCs w:val="18"/>
                    </w:rPr>
                  </w:pPr>
                </w:p>
                <w:p w14:paraId="4BBAD130" w14:textId="77777777" w:rsidR="00F751F0" w:rsidRDefault="00F751F0" w:rsidP="00F751F0">
                  <w:pPr>
                    <w:spacing w:after="0"/>
                    <w:rPr>
                      <w:rFonts w:cs="Arial"/>
                      <w:sz w:val="18"/>
                      <w:szCs w:val="18"/>
                    </w:rPr>
                  </w:pPr>
                </w:p>
                <w:p w14:paraId="1E1AF716" w14:textId="47098E0C" w:rsidR="00F751F0" w:rsidRDefault="00F751F0" w:rsidP="00F751F0">
                  <w:pPr>
                    <w:spacing w:after="0"/>
                    <w:rPr>
                      <w:rFonts w:cs="Arial"/>
                      <w:i/>
                      <w:sz w:val="18"/>
                      <w:szCs w:val="18"/>
                    </w:rPr>
                  </w:pPr>
                  <w:r w:rsidRPr="00F751F0">
                    <w:rPr>
                      <w:rFonts w:cs="Arial"/>
                      <w:i/>
                      <w:sz w:val="18"/>
                      <w:szCs w:val="18"/>
                    </w:rPr>
                    <w:t>Sichteinlage Kurt Meyer</w:t>
                  </w:r>
                </w:p>
                <w:p w14:paraId="549B42F1" w14:textId="46B536DF" w:rsidR="00F751F0" w:rsidRDefault="00F751F0" w:rsidP="00F751F0">
                  <w:pPr>
                    <w:spacing w:after="0"/>
                    <w:rPr>
                      <w:rFonts w:cs="Arial"/>
                      <w:sz w:val="18"/>
                      <w:szCs w:val="18"/>
                    </w:rPr>
                  </w:pPr>
                </w:p>
                <w:p w14:paraId="3106EC4B" w14:textId="355016B3" w:rsidR="00F751F0" w:rsidRPr="00F751F0" w:rsidRDefault="00F751F0" w:rsidP="00F751F0">
                  <w:pPr>
                    <w:spacing w:after="0"/>
                    <w:rPr>
                      <w:rFonts w:cs="Arial"/>
                      <w:sz w:val="18"/>
                      <w:szCs w:val="18"/>
                    </w:rPr>
                  </w:pPr>
                  <w:r>
                    <w:rPr>
                      <w:rFonts w:cs="Arial"/>
                      <w:sz w:val="18"/>
                      <w:szCs w:val="18"/>
                    </w:rPr>
                    <w:t>Sichteinlage Kurt Meyer</w:t>
                  </w:r>
                </w:p>
                <w:p w14:paraId="3BA94838" w14:textId="77777777" w:rsidR="00F751F0" w:rsidRPr="00E0513E" w:rsidRDefault="00F751F0" w:rsidP="00F751F0">
                  <w:pPr>
                    <w:spacing w:after="0"/>
                    <w:rPr>
                      <w:rFonts w:cs="Arial"/>
                      <w:sz w:val="18"/>
                      <w:szCs w:val="18"/>
                    </w:rPr>
                  </w:pPr>
                </w:p>
              </w:tc>
              <w:tc>
                <w:tcPr>
                  <w:tcW w:w="868" w:type="dxa"/>
                  <w:tcBorders>
                    <w:top w:val="nil"/>
                    <w:left w:val="nil"/>
                    <w:bottom w:val="nil"/>
                    <w:right w:val="nil"/>
                  </w:tcBorders>
                  <w:shd w:val="clear" w:color="auto" w:fill="auto"/>
                  <w:noWrap/>
                </w:tcPr>
                <w:p w14:paraId="68446116" w14:textId="77777777" w:rsidR="00F751F0" w:rsidRDefault="00F751F0" w:rsidP="00F751F0">
                  <w:pPr>
                    <w:spacing w:after="0"/>
                    <w:jc w:val="right"/>
                    <w:rPr>
                      <w:rFonts w:cs="Arial"/>
                      <w:sz w:val="18"/>
                      <w:szCs w:val="18"/>
                    </w:rPr>
                  </w:pPr>
                </w:p>
                <w:p w14:paraId="224D738B" w14:textId="77777777" w:rsidR="00F751F0" w:rsidRDefault="00F751F0" w:rsidP="00F751F0">
                  <w:pPr>
                    <w:spacing w:after="0"/>
                    <w:jc w:val="right"/>
                    <w:rPr>
                      <w:rFonts w:cs="Arial"/>
                      <w:sz w:val="18"/>
                      <w:szCs w:val="18"/>
                    </w:rPr>
                  </w:pPr>
                </w:p>
                <w:p w14:paraId="10565A37" w14:textId="77777777" w:rsidR="00F751F0" w:rsidRDefault="00F751F0" w:rsidP="00F751F0">
                  <w:pPr>
                    <w:spacing w:after="0"/>
                    <w:jc w:val="right"/>
                    <w:rPr>
                      <w:rFonts w:cs="Arial"/>
                      <w:sz w:val="18"/>
                      <w:szCs w:val="18"/>
                    </w:rPr>
                  </w:pPr>
                </w:p>
                <w:p w14:paraId="5BCFA4BB" w14:textId="34758525" w:rsidR="00F751F0" w:rsidRDefault="00F751F0" w:rsidP="00F751F0">
                  <w:pPr>
                    <w:spacing w:after="0"/>
                    <w:jc w:val="right"/>
                    <w:rPr>
                      <w:rFonts w:cs="Arial"/>
                      <w:i/>
                      <w:sz w:val="18"/>
                      <w:szCs w:val="18"/>
                    </w:rPr>
                  </w:pPr>
                  <w:r w:rsidRPr="00F751F0">
                    <w:rPr>
                      <w:rFonts w:cs="Arial"/>
                      <w:i/>
                      <w:sz w:val="18"/>
                      <w:szCs w:val="18"/>
                    </w:rPr>
                    <w:t>20.000</w:t>
                  </w:r>
                </w:p>
                <w:p w14:paraId="1B81B96E" w14:textId="30FA3E68" w:rsidR="00F751F0" w:rsidRDefault="00F751F0" w:rsidP="00F751F0">
                  <w:pPr>
                    <w:spacing w:after="0"/>
                    <w:jc w:val="right"/>
                    <w:rPr>
                      <w:rFonts w:cs="Arial"/>
                      <w:sz w:val="18"/>
                      <w:szCs w:val="18"/>
                    </w:rPr>
                  </w:pPr>
                </w:p>
                <w:p w14:paraId="0B38F04E" w14:textId="75E45E26" w:rsidR="00F751F0" w:rsidRPr="00F751F0" w:rsidRDefault="00F751F0" w:rsidP="00F751F0">
                  <w:pPr>
                    <w:spacing w:after="0"/>
                    <w:jc w:val="right"/>
                    <w:rPr>
                      <w:rFonts w:cs="Arial"/>
                      <w:sz w:val="18"/>
                      <w:szCs w:val="18"/>
                    </w:rPr>
                  </w:pPr>
                  <w:r>
                    <w:rPr>
                      <w:rFonts w:cs="Arial"/>
                      <w:sz w:val="18"/>
                      <w:szCs w:val="18"/>
                    </w:rPr>
                    <w:t>- 20.000</w:t>
                  </w:r>
                </w:p>
                <w:p w14:paraId="47EF6EFA" w14:textId="77777777" w:rsidR="00F751F0" w:rsidRPr="00E0513E" w:rsidRDefault="00F751F0" w:rsidP="00F751F0">
                  <w:pPr>
                    <w:spacing w:after="0"/>
                    <w:jc w:val="right"/>
                    <w:rPr>
                      <w:rFonts w:cs="Arial"/>
                      <w:sz w:val="18"/>
                      <w:szCs w:val="18"/>
                    </w:rPr>
                  </w:pPr>
                </w:p>
              </w:tc>
            </w:tr>
          </w:tbl>
          <w:p w14:paraId="7071453D" w14:textId="110BE8E1" w:rsidR="005A298C" w:rsidRDefault="005A298C" w:rsidP="007C3A73">
            <w:pPr>
              <w:rPr>
                <w:rFonts w:cs="Arial"/>
              </w:rPr>
            </w:pPr>
          </w:p>
          <w:p w14:paraId="10F1AB80" w14:textId="36E7CD40" w:rsidR="00F751F0" w:rsidRDefault="00F751F0" w:rsidP="007C3A73">
            <w:pPr>
              <w:rPr>
                <w:rFonts w:cs="Arial"/>
              </w:rPr>
            </w:pPr>
          </w:p>
          <w:tbl>
            <w:tblPr>
              <w:tblW w:w="9236" w:type="dxa"/>
              <w:tblCellMar>
                <w:left w:w="70" w:type="dxa"/>
                <w:right w:w="70" w:type="dxa"/>
              </w:tblCellMar>
              <w:tblLook w:val="04A0" w:firstRow="1" w:lastRow="0" w:firstColumn="1" w:lastColumn="0" w:noHBand="0" w:noVBand="1"/>
            </w:tblPr>
            <w:tblGrid>
              <w:gridCol w:w="1043"/>
              <w:gridCol w:w="397"/>
              <w:gridCol w:w="850"/>
              <w:gridCol w:w="1276"/>
              <w:gridCol w:w="142"/>
              <w:gridCol w:w="850"/>
              <w:gridCol w:w="284"/>
              <w:gridCol w:w="992"/>
              <w:gridCol w:w="283"/>
              <w:gridCol w:w="851"/>
              <w:gridCol w:w="1346"/>
              <w:gridCol w:w="54"/>
              <w:gridCol w:w="868"/>
            </w:tblGrid>
            <w:tr w:rsidR="00F751F0" w:rsidRPr="00813E47" w14:paraId="2FBB0E8E" w14:textId="77777777" w:rsidTr="001222B1">
              <w:trPr>
                <w:trHeight w:val="315"/>
              </w:trPr>
              <w:tc>
                <w:tcPr>
                  <w:tcW w:w="1043" w:type="dxa"/>
                  <w:tcBorders>
                    <w:top w:val="nil"/>
                    <w:left w:val="nil"/>
                    <w:bottom w:val="single" w:sz="8" w:space="0" w:color="auto"/>
                    <w:right w:val="nil"/>
                  </w:tcBorders>
                  <w:shd w:val="clear" w:color="auto" w:fill="auto"/>
                  <w:noWrap/>
                  <w:vAlign w:val="bottom"/>
                  <w:hideMark/>
                </w:tcPr>
                <w:p w14:paraId="5FBEAF87" w14:textId="77777777" w:rsidR="00F751F0" w:rsidRPr="00813E47" w:rsidRDefault="00F751F0" w:rsidP="00F751F0">
                  <w:pPr>
                    <w:rPr>
                      <w:rFonts w:cs="Arial"/>
                      <w:color w:val="000000"/>
                      <w:sz w:val="18"/>
                      <w:szCs w:val="18"/>
                    </w:rPr>
                  </w:pPr>
                  <w:r>
                    <w:rPr>
                      <w:rFonts w:cs="Arial"/>
                      <w:color w:val="000000"/>
                      <w:sz w:val="18"/>
                      <w:szCs w:val="18"/>
                    </w:rPr>
                    <w:t>Aktiva</w:t>
                  </w:r>
                </w:p>
              </w:tc>
              <w:tc>
                <w:tcPr>
                  <w:tcW w:w="2523" w:type="dxa"/>
                  <w:gridSpan w:val="3"/>
                  <w:tcBorders>
                    <w:top w:val="nil"/>
                    <w:left w:val="nil"/>
                    <w:bottom w:val="single" w:sz="8" w:space="0" w:color="auto"/>
                    <w:right w:val="nil"/>
                  </w:tcBorders>
                  <w:shd w:val="clear" w:color="auto" w:fill="auto"/>
                  <w:noWrap/>
                  <w:vAlign w:val="bottom"/>
                  <w:hideMark/>
                </w:tcPr>
                <w:p w14:paraId="300CB4FB" w14:textId="2720D71B" w:rsidR="00F751F0" w:rsidRDefault="00F751F0" w:rsidP="00912F3F">
                  <w:pPr>
                    <w:spacing w:after="0" w:line="240" w:lineRule="auto"/>
                    <w:jc w:val="center"/>
                    <w:rPr>
                      <w:rFonts w:cs="Arial"/>
                      <w:color w:val="000000"/>
                      <w:sz w:val="18"/>
                      <w:szCs w:val="18"/>
                    </w:rPr>
                  </w:pPr>
                  <w:r>
                    <w:rPr>
                      <w:rFonts w:cs="Arial"/>
                      <w:color w:val="000000"/>
                      <w:sz w:val="18"/>
                      <w:szCs w:val="18"/>
                    </w:rPr>
                    <w:t xml:space="preserve">Autohaus </w:t>
                  </w:r>
                  <w:proofErr w:type="spellStart"/>
                  <w:r>
                    <w:rPr>
                      <w:rFonts w:cs="Arial"/>
                      <w:color w:val="000000"/>
                      <w:sz w:val="18"/>
                      <w:szCs w:val="18"/>
                    </w:rPr>
                    <w:t>Fi</w:t>
                  </w:r>
                  <w:r w:rsidR="004B1AAD">
                    <w:rPr>
                      <w:rFonts w:cs="Arial"/>
                      <w:color w:val="000000"/>
                      <w:sz w:val="18"/>
                      <w:szCs w:val="18"/>
                    </w:rPr>
                    <w:t>l</w:t>
                  </w:r>
                  <w:r>
                    <w:rPr>
                      <w:rFonts w:cs="Arial"/>
                      <w:color w:val="000000"/>
                      <w:sz w:val="18"/>
                      <w:szCs w:val="18"/>
                    </w:rPr>
                    <w:t>scher</w:t>
                  </w:r>
                  <w:proofErr w:type="spellEnd"/>
                  <w:r>
                    <w:rPr>
                      <w:rFonts w:cs="Arial"/>
                      <w:color w:val="000000"/>
                      <w:sz w:val="18"/>
                      <w:szCs w:val="18"/>
                    </w:rPr>
                    <w:t xml:space="preserve"> GmbH</w:t>
                  </w:r>
                </w:p>
                <w:p w14:paraId="3160A87C" w14:textId="06E79120" w:rsidR="00912F3F" w:rsidRPr="00813E47" w:rsidRDefault="00912F3F" w:rsidP="00912F3F">
                  <w:pPr>
                    <w:spacing w:after="0" w:line="240" w:lineRule="auto"/>
                    <w:jc w:val="center"/>
                    <w:rPr>
                      <w:rFonts w:cs="Arial"/>
                      <w:color w:val="000000"/>
                      <w:sz w:val="18"/>
                      <w:szCs w:val="18"/>
                    </w:rPr>
                  </w:pPr>
                  <w:r>
                    <w:rPr>
                      <w:rFonts w:cs="Arial"/>
                      <w:color w:val="000000"/>
                      <w:sz w:val="18"/>
                      <w:szCs w:val="18"/>
                    </w:rPr>
                    <w:t>(in EUR)</w:t>
                  </w:r>
                </w:p>
              </w:tc>
              <w:tc>
                <w:tcPr>
                  <w:tcW w:w="992" w:type="dxa"/>
                  <w:gridSpan w:val="2"/>
                  <w:tcBorders>
                    <w:top w:val="nil"/>
                    <w:left w:val="nil"/>
                    <w:bottom w:val="single" w:sz="8" w:space="0" w:color="auto"/>
                    <w:right w:val="nil"/>
                  </w:tcBorders>
                  <w:shd w:val="clear" w:color="auto" w:fill="auto"/>
                  <w:noWrap/>
                  <w:vAlign w:val="bottom"/>
                  <w:hideMark/>
                </w:tcPr>
                <w:p w14:paraId="642C59BD" w14:textId="77777777" w:rsidR="00F751F0" w:rsidRPr="00813E47" w:rsidRDefault="00F751F0" w:rsidP="00F751F0">
                  <w:pPr>
                    <w:jc w:val="right"/>
                    <w:rPr>
                      <w:rFonts w:cs="Arial"/>
                      <w:color w:val="000000"/>
                      <w:sz w:val="18"/>
                      <w:szCs w:val="18"/>
                    </w:rPr>
                  </w:pPr>
                  <w:r>
                    <w:rPr>
                      <w:rFonts w:cs="Arial"/>
                      <w:color w:val="000000"/>
                      <w:sz w:val="18"/>
                      <w:szCs w:val="18"/>
                    </w:rPr>
                    <w:t>Passiva</w:t>
                  </w:r>
                </w:p>
              </w:tc>
              <w:tc>
                <w:tcPr>
                  <w:tcW w:w="284" w:type="dxa"/>
                  <w:tcBorders>
                    <w:top w:val="nil"/>
                    <w:left w:val="nil"/>
                    <w:bottom w:val="nil"/>
                    <w:right w:val="nil"/>
                  </w:tcBorders>
                  <w:shd w:val="clear" w:color="auto" w:fill="auto"/>
                  <w:noWrap/>
                  <w:vAlign w:val="bottom"/>
                  <w:hideMark/>
                </w:tcPr>
                <w:p w14:paraId="147B8673" w14:textId="77777777" w:rsidR="00F751F0" w:rsidRPr="00813E47" w:rsidRDefault="00F751F0" w:rsidP="00F751F0">
                  <w:pPr>
                    <w:jc w:val="right"/>
                    <w:rPr>
                      <w:rFonts w:cs="Arial"/>
                      <w:color w:val="000000"/>
                      <w:sz w:val="18"/>
                      <w:szCs w:val="18"/>
                    </w:rPr>
                  </w:pPr>
                </w:p>
              </w:tc>
              <w:tc>
                <w:tcPr>
                  <w:tcW w:w="992" w:type="dxa"/>
                  <w:tcBorders>
                    <w:top w:val="nil"/>
                    <w:left w:val="nil"/>
                    <w:bottom w:val="single" w:sz="8" w:space="0" w:color="auto"/>
                    <w:right w:val="nil"/>
                  </w:tcBorders>
                  <w:shd w:val="clear" w:color="auto" w:fill="auto"/>
                  <w:noWrap/>
                  <w:vAlign w:val="bottom"/>
                  <w:hideMark/>
                </w:tcPr>
                <w:p w14:paraId="61E194A2" w14:textId="77777777" w:rsidR="00F751F0" w:rsidRPr="00813E47" w:rsidRDefault="00F751F0" w:rsidP="00F751F0">
                  <w:pPr>
                    <w:rPr>
                      <w:rFonts w:cs="Arial"/>
                      <w:color w:val="000000"/>
                      <w:sz w:val="18"/>
                      <w:szCs w:val="18"/>
                    </w:rPr>
                  </w:pPr>
                  <w:r>
                    <w:rPr>
                      <w:rFonts w:cs="Arial"/>
                      <w:color w:val="000000"/>
                      <w:sz w:val="18"/>
                      <w:szCs w:val="18"/>
                    </w:rPr>
                    <w:t>Aktiva</w:t>
                  </w:r>
                </w:p>
              </w:tc>
              <w:tc>
                <w:tcPr>
                  <w:tcW w:w="2480" w:type="dxa"/>
                  <w:gridSpan w:val="3"/>
                  <w:tcBorders>
                    <w:top w:val="nil"/>
                    <w:left w:val="nil"/>
                    <w:bottom w:val="single" w:sz="8" w:space="0" w:color="auto"/>
                    <w:right w:val="nil"/>
                  </w:tcBorders>
                  <w:shd w:val="clear" w:color="auto" w:fill="auto"/>
                  <w:noWrap/>
                  <w:vAlign w:val="bottom"/>
                  <w:hideMark/>
                </w:tcPr>
                <w:p w14:paraId="35CBFF4A" w14:textId="77777777" w:rsidR="00F751F0" w:rsidRDefault="00F751F0" w:rsidP="00912F3F">
                  <w:pPr>
                    <w:spacing w:after="0" w:line="240" w:lineRule="auto"/>
                    <w:jc w:val="center"/>
                    <w:rPr>
                      <w:rFonts w:cs="Arial"/>
                      <w:sz w:val="18"/>
                      <w:szCs w:val="18"/>
                    </w:rPr>
                  </w:pPr>
                  <w:r>
                    <w:rPr>
                      <w:rFonts w:cs="Arial"/>
                      <w:sz w:val="18"/>
                      <w:szCs w:val="18"/>
                    </w:rPr>
                    <w:t>XY-Bank AG</w:t>
                  </w:r>
                </w:p>
                <w:p w14:paraId="26100729" w14:textId="414F75CD" w:rsidR="00912F3F" w:rsidRPr="00813E47" w:rsidRDefault="00912F3F" w:rsidP="00912F3F">
                  <w:pPr>
                    <w:spacing w:after="0" w:line="240" w:lineRule="auto"/>
                    <w:jc w:val="center"/>
                    <w:rPr>
                      <w:rFonts w:cs="Arial"/>
                      <w:color w:val="000000"/>
                      <w:sz w:val="18"/>
                      <w:szCs w:val="18"/>
                    </w:rPr>
                  </w:pPr>
                  <w:r>
                    <w:rPr>
                      <w:rFonts w:cs="Arial"/>
                      <w:color w:val="000000"/>
                      <w:sz w:val="18"/>
                      <w:szCs w:val="18"/>
                    </w:rPr>
                    <w:t>(in EUR)</w:t>
                  </w:r>
                </w:p>
              </w:tc>
              <w:tc>
                <w:tcPr>
                  <w:tcW w:w="922" w:type="dxa"/>
                  <w:gridSpan w:val="2"/>
                  <w:tcBorders>
                    <w:top w:val="nil"/>
                    <w:left w:val="nil"/>
                    <w:bottom w:val="single" w:sz="8" w:space="0" w:color="auto"/>
                    <w:right w:val="nil"/>
                  </w:tcBorders>
                  <w:shd w:val="clear" w:color="auto" w:fill="auto"/>
                  <w:noWrap/>
                  <w:vAlign w:val="bottom"/>
                  <w:hideMark/>
                </w:tcPr>
                <w:p w14:paraId="4FEF707B" w14:textId="77777777" w:rsidR="00F751F0" w:rsidRPr="00813E47" w:rsidRDefault="00F751F0" w:rsidP="00F751F0">
                  <w:pPr>
                    <w:jc w:val="right"/>
                    <w:rPr>
                      <w:rFonts w:cs="Arial"/>
                      <w:color w:val="000000"/>
                      <w:sz w:val="18"/>
                      <w:szCs w:val="18"/>
                    </w:rPr>
                  </w:pPr>
                  <w:r>
                    <w:rPr>
                      <w:rFonts w:cs="Arial"/>
                      <w:color w:val="000000"/>
                      <w:sz w:val="18"/>
                      <w:szCs w:val="18"/>
                    </w:rPr>
                    <w:t>Passiva</w:t>
                  </w:r>
                </w:p>
              </w:tc>
            </w:tr>
            <w:tr w:rsidR="00F751F0" w:rsidRPr="00E0513E" w14:paraId="24E8C6F5" w14:textId="77777777" w:rsidTr="001222B1">
              <w:trPr>
                <w:trHeight w:val="300"/>
              </w:trPr>
              <w:tc>
                <w:tcPr>
                  <w:tcW w:w="1440" w:type="dxa"/>
                  <w:gridSpan w:val="2"/>
                  <w:tcBorders>
                    <w:top w:val="nil"/>
                    <w:left w:val="nil"/>
                    <w:bottom w:val="nil"/>
                    <w:right w:val="nil"/>
                  </w:tcBorders>
                  <w:shd w:val="clear" w:color="auto" w:fill="auto"/>
                  <w:noWrap/>
                </w:tcPr>
                <w:p w14:paraId="362A1855" w14:textId="77777777" w:rsidR="00F751F0" w:rsidRDefault="00F751F0" w:rsidP="00F751F0">
                  <w:pPr>
                    <w:spacing w:after="0"/>
                    <w:rPr>
                      <w:rFonts w:cs="Arial"/>
                      <w:sz w:val="18"/>
                      <w:szCs w:val="18"/>
                    </w:rPr>
                  </w:pPr>
                </w:p>
                <w:p w14:paraId="526E7495" w14:textId="77777777" w:rsidR="00F751F0" w:rsidRDefault="00F751F0" w:rsidP="00F751F0">
                  <w:pPr>
                    <w:spacing w:after="0"/>
                    <w:rPr>
                      <w:rFonts w:cs="Arial"/>
                      <w:sz w:val="18"/>
                      <w:szCs w:val="18"/>
                    </w:rPr>
                  </w:pPr>
                </w:p>
                <w:p w14:paraId="727B478D" w14:textId="77777777" w:rsidR="00F751F0" w:rsidRDefault="00F751F0" w:rsidP="00F751F0">
                  <w:pPr>
                    <w:spacing w:after="0"/>
                    <w:rPr>
                      <w:rFonts w:cs="Arial"/>
                      <w:sz w:val="18"/>
                      <w:szCs w:val="18"/>
                    </w:rPr>
                  </w:pPr>
                  <w:r>
                    <w:rPr>
                      <w:rFonts w:cs="Arial"/>
                      <w:sz w:val="18"/>
                      <w:szCs w:val="18"/>
                    </w:rPr>
                    <w:t>Sichteinlage</w:t>
                  </w:r>
                </w:p>
                <w:p w14:paraId="7E74DABD" w14:textId="77777777" w:rsidR="00F751F0" w:rsidRDefault="00F751F0" w:rsidP="00F751F0">
                  <w:pPr>
                    <w:spacing w:after="0"/>
                    <w:rPr>
                      <w:rFonts w:cs="Arial"/>
                      <w:sz w:val="18"/>
                      <w:szCs w:val="18"/>
                    </w:rPr>
                  </w:pPr>
                </w:p>
                <w:p w14:paraId="63F881DD" w14:textId="77777777" w:rsidR="00F751F0" w:rsidRDefault="00F751F0" w:rsidP="00F751F0">
                  <w:pPr>
                    <w:spacing w:after="0"/>
                    <w:rPr>
                      <w:rFonts w:cs="Arial"/>
                      <w:sz w:val="18"/>
                      <w:szCs w:val="18"/>
                    </w:rPr>
                  </w:pPr>
                  <w:r>
                    <w:rPr>
                      <w:rFonts w:cs="Arial"/>
                      <w:sz w:val="18"/>
                      <w:szCs w:val="18"/>
                    </w:rPr>
                    <w:t>Sachwert</w:t>
                  </w:r>
                </w:p>
                <w:p w14:paraId="4F9AE934" w14:textId="77777777" w:rsidR="00F751F0" w:rsidRDefault="00F751F0" w:rsidP="00F751F0">
                  <w:pPr>
                    <w:spacing w:after="0"/>
                    <w:rPr>
                      <w:rFonts w:cs="Arial"/>
                      <w:sz w:val="18"/>
                      <w:szCs w:val="18"/>
                    </w:rPr>
                  </w:pPr>
                </w:p>
                <w:p w14:paraId="04F15BA4" w14:textId="77777777" w:rsidR="00F751F0" w:rsidRPr="00E0513E" w:rsidRDefault="00F751F0" w:rsidP="00F751F0">
                  <w:pPr>
                    <w:spacing w:after="0"/>
                    <w:rPr>
                      <w:rFonts w:cs="Arial"/>
                      <w:sz w:val="18"/>
                      <w:szCs w:val="18"/>
                    </w:rPr>
                  </w:pPr>
                </w:p>
              </w:tc>
              <w:tc>
                <w:tcPr>
                  <w:tcW w:w="850" w:type="dxa"/>
                  <w:tcBorders>
                    <w:top w:val="nil"/>
                    <w:left w:val="nil"/>
                    <w:bottom w:val="nil"/>
                    <w:right w:val="single" w:sz="4" w:space="0" w:color="auto"/>
                  </w:tcBorders>
                  <w:shd w:val="clear" w:color="auto" w:fill="auto"/>
                  <w:noWrap/>
                </w:tcPr>
                <w:p w14:paraId="3A555DB2" w14:textId="77777777" w:rsidR="00F751F0" w:rsidRDefault="00F751F0" w:rsidP="00F751F0">
                  <w:pPr>
                    <w:spacing w:after="0"/>
                    <w:jc w:val="right"/>
                    <w:rPr>
                      <w:rFonts w:cs="Arial"/>
                      <w:sz w:val="18"/>
                      <w:szCs w:val="18"/>
                    </w:rPr>
                  </w:pPr>
                </w:p>
                <w:p w14:paraId="0B04CEA2" w14:textId="77777777" w:rsidR="00F751F0" w:rsidRDefault="00F751F0" w:rsidP="00F751F0">
                  <w:pPr>
                    <w:spacing w:after="0"/>
                    <w:jc w:val="right"/>
                    <w:rPr>
                      <w:rFonts w:cs="Arial"/>
                      <w:sz w:val="18"/>
                      <w:szCs w:val="18"/>
                    </w:rPr>
                  </w:pPr>
                </w:p>
                <w:p w14:paraId="5277E1A3" w14:textId="30A05710" w:rsidR="00F751F0" w:rsidRDefault="00F751F0" w:rsidP="00F751F0">
                  <w:pPr>
                    <w:spacing w:after="0"/>
                    <w:jc w:val="right"/>
                    <w:rPr>
                      <w:rFonts w:cs="Arial"/>
                      <w:sz w:val="18"/>
                      <w:szCs w:val="18"/>
                    </w:rPr>
                  </w:pPr>
                  <w:r>
                    <w:rPr>
                      <w:rFonts w:cs="Arial"/>
                      <w:sz w:val="18"/>
                      <w:szCs w:val="18"/>
                    </w:rPr>
                    <w:t>20.000</w:t>
                  </w:r>
                </w:p>
                <w:p w14:paraId="5C17FA50" w14:textId="77777777" w:rsidR="00F751F0" w:rsidRDefault="00F751F0" w:rsidP="00F751F0">
                  <w:pPr>
                    <w:spacing w:after="0"/>
                    <w:jc w:val="right"/>
                    <w:rPr>
                      <w:rFonts w:cs="Arial"/>
                      <w:sz w:val="18"/>
                      <w:szCs w:val="18"/>
                    </w:rPr>
                  </w:pPr>
                </w:p>
                <w:p w14:paraId="1EEAAF93" w14:textId="551C6CCF" w:rsidR="00F751F0" w:rsidRPr="00F751F0" w:rsidRDefault="00F751F0" w:rsidP="00F751F0">
                  <w:pPr>
                    <w:spacing w:after="0"/>
                    <w:jc w:val="right"/>
                    <w:rPr>
                      <w:rFonts w:cs="Arial"/>
                      <w:sz w:val="18"/>
                      <w:szCs w:val="18"/>
                    </w:rPr>
                  </w:pPr>
                  <w:r>
                    <w:rPr>
                      <w:rFonts w:cs="Arial"/>
                      <w:sz w:val="18"/>
                      <w:szCs w:val="18"/>
                    </w:rPr>
                    <w:t>- 20.000</w:t>
                  </w:r>
                </w:p>
              </w:tc>
              <w:tc>
                <w:tcPr>
                  <w:tcW w:w="1418" w:type="dxa"/>
                  <w:gridSpan w:val="2"/>
                  <w:tcBorders>
                    <w:top w:val="nil"/>
                    <w:left w:val="nil"/>
                    <w:bottom w:val="nil"/>
                    <w:right w:val="nil"/>
                  </w:tcBorders>
                  <w:shd w:val="clear" w:color="auto" w:fill="auto"/>
                  <w:noWrap/>
                </w:tcPr>
                <w:p w14:paraId="7833048C" w14:textId="77777777" w:rsidR="00F751F0" w:rsidRPr="00E0513E" w:rsidRDefault="00F751F0" w:rsidP="00F751F0">
                  <w:pPr>
                    <w:spacing w:after="0"/>
                    <w:rPr>
                      <w:rFonts w:cs="Arial"/>
                      <w:sz w:val="18"/>
                      <w:szCs w:val="18"/>
                    </w:rPr>
                  </w:pPr>
                </w:p>
              </w:tc>
              <w:tc>
                <w:tcPr>
                  <w:tcW w:w="850" w:type="dxa"/>
                  <w:tcBorders>
                    <w:top w:val="nil"/>
                    <w:left w:val="nil"/>
                    <w:bottom w:val="nil"/>
                    <w:right w:val="nil"/>
                  </w:tcBorders>
                  <w:shd w:val="clear" w:color="auto" w:fill="auto"/>
                  <w:noWrap/>
                </w:tcPr>
                <w:p w14:paraId="331F7570" w14:textId="3354184D" w:rsidR="00F751F0" w:rsidRPr="00E0513E" w:rsidRDefault="00F751F0" w:rsidP="00F751F0">
                  <w:pPr>
                    <w:spacing w:after="0"/>
                    <w:jc w:val="right"/>
                    <w:rPr>
                      <w:rFonts w:cs="Arial"/>
                      <w:sz w:val="18"/>
                      <w:szCs w:val="18"/>
                    </w:rPr>
                  </w:pPr>
                </w:p>
              </w:tc>
              <w:tc>
                <w:tcPr>
                  <w:tcW w:w="284" w:type="dxa"/>
                  <w:tcBorders>
                    <w:top w:val="nil"/>
                    <w:left w:val="nil"/>
                    <w:bottom w:val="nil"/>
                    <w:right w:val="nil"/>
                  </w:tcBorders>
                  <w:shd w:val="clear" w:color="auto" w:fill="auto"/>
                  <w:noWrap/>
                  <w:hideMark/>
                </w:tcPr>
                <w:p w14:paraId="58E924F3" w14:textId="77777777" w:rsidR="00F751F0" w:rsidRPr="00813E47" w:rsidRDefault="00F751F0" w:rsidP="00F751F0">
                  <w:pPr>
                    <w:spacing w:after="0"/>
                    <w:rPr>
                      <w:rFonts w:cs="Arial"/>
                      <w:color w:val="000000"/>
                      <w:sz w:val="18"/>
                      <w:szCs w:val="18"/>
                    </w:rPr>
                  </w:pPr>
                </w:p>
              </w:tc>
              <w:tc>
                <w:tcPr>
                  <w:tcW w:w="1275" w:type="dxa"/>
                  <w:gridSpan w:val="2"/>
                  <w:tcBorders>
                    <w:top w:val="nil"/>
                    <w:left w:val="nil"/>
                    <w:bottom w:val="nil"/>
                    <w:right w:val="nil"/>
                  </w:tcBorders>
                  <w:shd w:val="clear" w:color="auto" w:fill="auto"/>
                  <w:noWrap/>
                  <w:hideMark/>
                </w:tcPr>
                <w:p w14:paraId="33146C81" w14:textId="1C5E8511" w:rsidR="00F751F0" w:rsidRPr="00E0513E" w:rsidRDefault="00F751F0" w:rsidP="00F751F0">
                  <w:pPr>
                    <w:spacing w:after="0"/>
                    <w:rPr>
                      <w:rFonts w:cs="Arial"/>
                      <w:sz w:val="18"/>
                      <w:szCs w:val="18"/>
                    </w:rPr>
                  </w:pPr>
                  <w:r>
                    <w:rPr>
                      <w:rFonts w:cs="Arial"/>
                      <w:sz w:val="18"/>
                      <w:szCs w:val="18"/>
                    </w:rPr>
                    <w:t>Zentralbankguthaben</w:t>
                  </w:r>
                </w:p>
              </w:tc>
              <w:tc>
                <w:tcPr>
                  <w:tcW w:w="851" w:type="dxa"/>
                  <w:tcBorders>
                    <w:top w:val="nil"/>
                    <w:left w:val="nil"/>
                    <w:bottom w:val="nil"/>
                    <w:right w:val="single" w:sz="4" w:space="0" w:color="auto"/>
                  </w:tcBorders>
                  <w:shd w:val="clear" w:color="auto" w:fill="auto"/>
                  <w:noWrap/>
                  <w:hideMark/>
                </w:tcPr>
                <w:p w14:paraId="7CDB1082" w14:textId="77777777" w:rsidR="00F751F0" w:rsidRDefault="00F751F0" w:rsidP="00F751F0">
                  <w:pPr>
                    <w:spacing w:after="0"/>
                    <w:jc w:val="right"/>
                    <w:rPr>
                      <w:rFonts w:cs="Arial"/>
                      <w:sz w:val="18"/>
                      <w:szCs w:val="18"/>
                    </w:rPr>
                  </w:pPr>
                </w:p>
                <w:p w14:paraId="77FC0F29" w14:textId="105DFFAB" w:rsidR="00F751F0" w:rsidRPr="00E0513E" w:rsidRDefault="00F751F0" w:rsidP="00F751F0">
                  <w:pPr>
                    <w:spacing w:after="0"/>
                    <w:jc w:val="right"/>
                    <w:rPr>
                      <w:rFonts w:cs="Arial"/>
                      <w:sz w:val="18"/>
                      <w:szCs w:val="18"/>
                    </w:rPr>
                  </w:pPr>
                  <w:r>
                    <w:rPr>
                      <w:rFonts w:cs="Arial"/>
                      <w:sz w:val="18"/>
                      <w:szCs w:val="18"/>
                    </w:rPr>
                    <w:t>20.000</w:t>
                  </w:r>
                </w:p>
              </w:tc>
              <w:tc>
                <w:tcPr>
                  <w:tcW w:w="1400" w:type="dxa"/>
                  <w:gridSpan w:val="2"/>
                  <w:tcBorders>
                    <w:top w:val="nil"/>
                    <w:left w:val="nil"/>
                    <w:bottom w:val="nil"/>
                    <w:right w:val="nil"/>
                  </w:tcBorders>
                  <w:shd w:val="clear" w:color="auto" w:fill="auto"/>
                  <w:noWrap/>
                </w:tcPr>
                <w:p w14:paraId="1BDE8B83" w14:textId="77777777" w:rsidR="00F751F0" w:rsidRDefault="00F751F0" w:rsidP="00F751F0">
                  <w:pPr>
                    <w:spacing w:after="0"/>
                    <w:rPr>
                      <w:rFonts w:cs="Arial"/>
                      <w:sz w:val="18"/>
                      <w:szCs w:val="18"/>
                    </w:rPr>
                  </w:pPr>
                </w:p>
                <w:p w14:paraId="152683EB" w14:textId="77777777" w:rsidR="00F751F0" w:rsidRDefault="00F751F0" w:rsidP="00F751F0">
                  <w:pPr>
                    <w:spacing w:after="0"/>
                    <w:rPr>
                      <w:rFonts w:cs="Arial"/>
                      <w:sz w:val="18"/>
                      <w:szCs w:val="18"/>
                    </w:rPr>
                  </w:pPr>
                </w:p>
                <w:p w14:paraId="5FA40F3C" w14:textId="5BB949C2" w:rsidR="00F751F0" w:rsidRPr="00E0513E" w:rsidRDefault="00F751F0" w:rsidP="00F751F0">
                  <w:pPr>
                    <w:spacing w:after="0"/>
                    <w:rPr>
                      <w:rFonts w:cs="Arial"/>
                      <w:sz w:val="18"/>
                      <w:szCs w:val="18"/>
                    </w:rPr>
                  </w:pPr>
                  <w:r>
                    <w:rPr>
                      <w:rFonts w:cs="Arial"/>
                      <w:sz w:val="18"/>
                      <w:szCs w:val="18"/>
                    </w:rPr>
                    <w:t>Sichteinlage Autohaus</w:t>
                  </w:r>
                </w:p>
              </w:tc>
              <w:tc>
                <w:tcPr>
                  <w:tcW w:w="868" w:type="dxa"/>
                  <w:tcBorders>
                    <w:top w:val="nil"/>
                    <w:left w:val="nil"/>
                    <w:bottom w:val="nil"/>
                    <w:right w:val="nil"/>
                  </w:tcBorders>
                  <w:shd w:val="clear" w:color="auto" w:fill="auto"/>
                  <w:noWrap/>
                </w:tcPr>
                <w:p w14:paraId="33E95BA6" w14:textId="77777777" w:rsidR="00F751F0" w:rsidRDefault="00F751F0" w:rsidP="00F751F0">
                  <w:pPr>
                    <w:spacing w:after="0"/>
                    <w:jc w:val="right"/>
                    <w:rPr>
                      <w:rFonts w:cs="Arial"/>
                      <w:sz w:val="18"/>
                      <w:szCs w:val="18"/>
                    </w:rPr>
                  </w:pPr>
                </w:p>
                <w:p w14:paraId="1A6DAEFF" w14:textId="77777777" w:rsidR="00F751F0" w:rsidRDefault="00F751F0" w:rsidP="00F751F0">
                  <w:pPr>
                    <w:spacing w:after="0"/>
                    <w:jc w:val="right"/>
                    <w:rPr>
                      <w:rFonts w:cs="Arial"/>
                      <w:sz w:val="18"/>
                      <w:szCs w:val="18"/>
                    </w:rPr>
                  </w:pPr>
                </w:p>
                <w:p w14:paraId="7CDF2F3F" w14:textId="77777777" w:rsidR="00F751F0" w:rsidRDefault="00F751F0" w:rsidP="00F751F0">
                  <w:pPr>
                    <w:spacing w:after="0"/>
                    <w:jc w:val="right"/>
                    <w:rPr>
                      <w:rFonts w:cs="Arial"/>
                      <w:sz w:val="18"/>
                      <w:szCs w:val="18"/>
                    </w:rPr>
                  </w:pPr>
                </w:p>
                <w:p w14:paraId="05BDCD21" w14:textId="23D4006B" w:rsidR="00F751F0" w:rsidRPr="00F751F0" w:rsidRDefault="00F751F0" w:rsidP="00F751F0">
                  <w:pPr>
                    <w:spacing w:after="0"/>
                    <w:jc w:val="right"/>
                    <w:rPr>
                      <w:rFonts w:cs="Arial"/>
                      <w:sz w:val="18"/>
                      <w:szCs w:val="18"/>
                    </w:rPr>
                  </w:pPr>
                  <w:r>
                    <w:rPr>
                      <w:rFonts w:cs="Arial"/>
                      <w:sz w:val="18"/>
                      <w:szCs w:val="18"/>
                    </w:rPr>
                    <w:t>20.000</w:t>
                  </w:r>
                </w:p>
                <w:p w14:paraId="5D7321E9" w14:textId="77777777" w:rsidR="00F751F0" w:rsidRPr="00E0513E" w:rsidRDefault="00F751F0" w:rsidP="00F751F0">
                  <w:pPr>
                    <w:spacing w:after="0"/>
                    <w:jc w:val="right"/>
                    <w:rPr>
                      <w:rFonts w:cs="Arial"/>
                      <w:sz w:val="18"/>
                      <w:szCs w:val="18"/>
                    </w:rPr>
                  </w:pPr>
                </w:p>
              </w:tc>
            </w:tr>
          </w:tbl>
          <w:p w14:paraId="75B9E8F6" w14:textId="7BB7A732" w:rsidR="00F751F0" w:rsidRDefault="00F751F0" w:rsidP="007C3A73">
            <w:pPr>
              <w:rPr>
                <w:rFonts w:cs="Arial"/>
              </w:rPr>
            </w:pPr>
          </w:p>
          <w:p w14:paraId="0BC83B9B" w14:textId="77777777" w:rsidR="00F751F0" w:rsidRDefault="00F751F0" w:rsidP="00F751F0">
            <w:pPr>
              <w:rPr>
                <w:rFonts w:cs="Arial"/>
              </w:rPr>
            </w:pPr>
          </w:p>
          <w:tbl>
            <w:tblPr>
              <w:tblW w:w="9236" w:type="dxa"/>
              <w:tblCellMar>
                <w:left w:w="70" w:type="dxa"/>
                <w:right w:w="70" w:type="dxa"/>
              </w:tblCellMar>
              <w:tblLook w:val="04A0" w:firstRow="1" w:lastRow="0" w:firstColumn="1" w:lastColumn="0" w:noHBand="0" w:noVBand="1"/>
            </w:tblPr>
            <w:tblGrid>
              <w:gridCol w:w="1043"/>
              <w:gridCol w:w="397"/>
              <w:gridCol w:w="850"/>
              <w:gridCol w:w="1276"/>
              <w:gridCol w:w="142"/>
              <w:gridCol w:w="850"/>
              <w:gridCol w:w="284"/>
              <w:gridCol w:w="992"/>
              <w:gridCol w:w="283"/>
              <w:gridCol w:w="851"/>
              <w:gridCol w:w="1346"/>
              <w:gridCol w:w="54"/>
              <w:gridCol w:w="868"/>
            </w:tblGrid>
            <w:tr w:rsidR="00F751F0" w:rsidRPr="00813E47" w14:paraId="5B2F55D0" w14:textId="77777777" w:rsidTr="00F751F0">
              <w:trPr>
                <w:trHeight w:val="315"/>
              </w:trPr>
              <w:tc>
                <w:tcPr>
                  <w:tcW w:w="1043" w:type="dxa"/>
                  <w:tcBorders>
                    <w:top w:val="nil"/>
                    <w:left w:val="nil"/>
                    <w:bottom w:val="single" w:sz="8" w:space="0" w:color="auto"/>
                    <w:right w:val="nil"/>
                  </w:tcBorders>
                  <w:shd w:val="clear" w:color="auto" w:fill="auto"/>
                  <w:noWrap/>
                  <w:vAlign w:val="bottom"/>
                  <w:hideMark/>
                </w:tcPr>
                <w:p w14:paraId="1BA35033" w14:textId="77777777" w:rsidR="00F751F0" w:rsidRPr="00813E47" w:rsidRDefault="00F751F0" w:rsidP="00F751F0">
                  <w:pPr>
                    <w:rPr>
                      <w:rFonts w:cs="Arial"/>
                      <w:color w:val="000000"/>
                      <w:sz w:val="18"/>
                      <w:szCs w:val="18"/>
                    </w:rPr>
                  </w:pPr>
                  <w:r>
                    <w:rPr>
                      <w:rFonts w:cs="Arial"/>
                      <w:color w:val="000000"/>
                      <w:sz w:val="18"/>
                      <w:szCs w:val="18"/>
                    </w:rPr>
                    <w:t>Aktiva</w:t>
                  </w:r>
                </w:p>
              </w:tc>
              <w:tc>
                <w:tcPr>
                  <w:tcW w:w="2523" w:type="dxa"/>
                  <w:gridSpan w:val="3"/>
                  <w:tcBorders>
                    <w:top w:val="nil"/>
                    <w:left w:val="nil"/>
                    <w:bottom w:val="single" w:sz="8" w:space="0" w:color="auto"/>
                    <w:right w:val="nil"/>
                  </w:tcBorders>
                  <w:shd w:val="clear" w:color="auto" w:fill="auto"/>
                  <w:noWrap/>
                  <w:vAlign w:val="bottom"/>
                  <w:hideMark/>
                </w:tcPr>
                <w:p w14:paraId="18322C2F" w14:textId="77777777" w:rsidR="00F751F0" w:rsidRDefault="00F751F0" w:rsidP="00912F3F">
                  <w:pPr>
                    <w:spacing w:after="0" w:line="240" w:lineRule="auto"/>
                    <w:jc w:val="center"/>
                    <w:rPr>
                      <w:rFonts w:cs="Arial"/>
                      <w:color w:val="000000"/>
                      <w:sz w:val="18"/>
                      <w:szCs w:val="18"/>
                    </w:rPr>
                  </w:pPr>
                  <w:r>
                    <w:rPr>
                      <w:rFonts w:cs="Arial"/>
                      <w:color w:val="000000"/>
                      <w:sz w:val="18"/>
                      <w:szCs w:val="18"/>
                    </w:rPr>
                    <w:t>Zentralbank</w:t>
                  </w:r>
                </w:p>
                <w:p w14:paraId="6348726B" w14:textId="4FA410AD" w:rsidR="00912F3F" w:rsidRPr="00813E47" w:rsidRDefault="00912F3F" w:rsidP="00912F3F">
                  <w:pPr>
                    <w:spacing w:after="0" w:line="240" w:lineRule="auto"/>
                    <w:jc w:val="center"/>
                    <w:rPr>
                      <w:rFonts w:cs="Arial"/>
                      <w:color w:val="000000"/>
                      <w:sz w:val="18"/>
                      <w:szCs w:val="18"/>
                    </w:rPr>
                  </w:pPr>
                  <w:r>
                    <w:rPr>
                      <w:rFonts w:cs="Arial"/>
                      <w:color w:val="000000"/>
                      <w:sz w:val="18"/>
                      <w:szCs w:val="18"/>
                    </w:rPr>
                    <w:t>(in EUR)</w:t>
                  </w:r>
                </w:p>
              </w:tc>
              <w:tc>
                <w:tcPr>
                  <w:tcW w:w="992" w:type="dxa"/>
                  <w:gridSpan w:val="2"/>
                  <w:tcBorders>
                    <w:top w:val="nil"/>
                    <w:left w:val="nil"/>
                    <w:bottom w:val="single" w:sz="8" w:space="0" w:color="auto"/>
                    <w:right w:val="nil"/>
                  </w:tcBorders>
                  <w:shd w:val="clear" w:color="auto" w:fill="auto"/>
                  <w:noWrap/>
                  <w:vAlign w:val="bottom"/>
                  <w:hideMark/>
                </w:tcPr>
                <w:p w14:paraId="6D5A4E0E" w14:textId="77777777" w:rsidR="00F751F0" w:rsidRPr="00813E47" w:rsidRDefault="00F751F0" w:rsidP="00F751F0">
                  <w:pPr>
                    <w:jc w:val="right"/>
                    <w:rPr>
                      <w:rFonts w:cs="Arial"/>
                      <w:color w:val="000000"/>
                      <w:sz w:val="18"/>
                      <w:szCs w:val="18"/>
                    </w:rPr>
                  </w:pPr>
                  <w:r>
                    <w:rPr>
                      <w:rFonts w:cs="Arial"/>
                      <w:color w:val="000000"/>
                      <w:sz w:val="18"/>
                      <w:szCs w:val="18"/>
                    </w:rPr>
                    <w:t>Passiva</w:t>
                  </w:r>
                </w:p>
              </w:tc>
              <w:tc>
                <w:tcPr>
                  <w:tcW w:w="284" w:type="dxa"/>
                  <w:tcBorders>
                    <w:top w:val="nil"/>
                    <w:left w:val="nil"/>
                    <w:bottom w:val="nil"/>
                    <w:right w:val="nil"/>
                  </w:tcBorders>
                  <w:shd w:val="clear" w:color="auto" w:fill="auto"/>
                  <w:noWrap/>
                  <w:vAlign w:val="bottom"/>
                  <w:hideMark/>
                </w:tcPr>
                <w:p w14:paraId="3C717176" w14:textId="77777777" w:rsidR="00F751F0" w:rsidRPr="00813E47" w:rsidRDefault="00F751F0" w:rsidP="00F751F0">
                  <w:pPr>
                    <w:jc w:val="right"/>
                    <w:rPr>
                      <w:rFonts w:cs="Arial"/>
                      <w:color w:val="000000"/>
                      <w:sz w:val="18"/>
                      <w:szCs w:val="18"/>
                    </w:rPr>
                  </w:pPr>
                </w:p>
              </w:tc>
              <w:tc>
                <w:tcPr>
                  <w:tcW w:w="992" w:type="dxa"/>
                  <w:tcBorders>
                    <w:top w:val="nil"/>
                    <w:left w:val="nil"/>
                    <w:right w:val="nil"/>
                  </w:tcBorders>
                  <w:shd w:val="clear" w:color="auto" w:fill="auto"/>
                  <w:noWrap/>
                  <w:vAlign w:val="bottom"/>
                </w:tcPr>
                <w:p w14:paraId="671A97CD" w14:textId="0A99040F" w:rsidR="00F751F0" w:rsidRPr="00813E47" w:rsidRDefault="00F751F0" w:rsidP="00F751F0">
                  <w:pPr>
                    <w:rPr>
                      <w:rFonts w:cs="Arial"/>
                      <w:color w:val="000000"/>
                      <w:sz w:val="18"/>
                      <w:szCs w:val="18"/>
                    </w:rPr>
                  </w:pPr>
                </w:p>
              </w:tc>
              <w:tc>
                <w:tcPr>
                  <w:tcW w:w="2480" w:type="dxa"/>
                  <w:gridSpan w:val="3"/>
                  <w:tcBorders>
                    <w:top w:val="nil"/>
                    <w:left w:val="nil"/>
                    <w:right w:val="nil"/>
                  </w:tcBorders>
                  <w:shd w:val="clear" w:color="auto" w:fill="auto"/>
                  <w:noWrap/>
                  <w:vAlign w:val="bottom"/>
                </w:tcPr>
                <w:p w14:paraId="023E8ECF" w14:textId="49F657F4" w:rsidR="00F751F0" w:rsidRPr="00813E47" w:rsidRDefault="00F751F0" w:rsidP="00F751F0">
                  <w:pPr>
                    <w:jc w:val="center"/>
                    <w:rPr>
                      <w:rFonts w:cs="Arial"/>
                      <w:color w:val="000000"/>
                      <w:sz w:val="18"/>
                      <w:szCs w:val="18"/>
                    </w:rPr>
                  </w:pPr>
                </w:p>
              </w:tc>
              <w:tc>
                <w:tcPr>
                  <w:tcW w:w="922" w:type="dxa"/>
                  <w:gridSpan w:val="2"/>
                  <w:tcBorders>
                    <w:top w:val="nil"/>
                    <w:left w:val="nil"/>
                    <w:right w:val="nil"/>
                  </w:tcBorders>
                  <w:shd w:val="clear" w:color="auto" w:fill="auto"/>
                  <w:noWrap/>
                  <w:vAlign w:val="bottom"/>
                </w:tcPr>
                <w:p w14:paraId="34F94DED" w14:textId="12906EC6" w:rsidR="00F751F0" w:rsidRPr="00813E47" w:rsidRDefault="00F751F0" w:rsidP="00F751F0">
                  <w:pPr>
                    <w:jc w:val="right"/>
                    <w:rPr>
                      <w:rFonts w:cs="Arial"/>
                      <w:color w:val="000000"/>
                      <w:sz w:val="18"/>
                      <w:szCs w:val="18"/>
                    </w:rPr>
                  </w:pPr>
                </w:p>
              </w:tc>
            </w:tr>
            <w:tr w:rsidR="00F751F0" w:rsidRPr="00E0513E" w14:paraId="75B6EE6B" w14:textId="77777777" w:rsidTr="00F751F0">
              <w:trPr>
                <w:trHeight w:val="300"/>
              </w:trPr>
              <w:tc>
                <w:tcPr>
                  <w:tcW w:w="1440" w:type="dxa"/>
                  <w:gridSpan w:val="2"/>
                  <w:tcBorders>
                    <w:top w:val="nil"/>
                    <w:left w:val="nil"/>
                    <w:bottom w:val="nil"/>
                    <w:right w:val="nil"/>
                  </w:tcBorders>
                  <w:shd w:val="clear" w:color="auto" w:fill="auto"/>
                  <w:noWrap/>
                </w:tcPr>
                <w:p w14:paraId="0C9DACAB" w14:textId="77777777" w:rsidR="00F751F0" w:rsidRPr="00E0513E" w:rsidRDefault="00F751F0" w:rsidP="00F751F0">
                  <w:pPr>
                    <w:spacing w:after="0"/>
                    <w:rPr>
                      <w:rFonts w:cs="Arial"/>
                      <w:sz w:val="18"/>
                      <w:szCs w:val="18"/>
                    </w:rPr>
                  </w:pPr>
                </w:p>
              </w:tc>
              <w:tc>
                <w:tcPr>
                  <w:tcW w:w="850" w:type="dxa"/>
                  <w:tcBorders>
                    <w:top w:val="nil"/>
                    <w:left w:val="nil"/>
                    <w:bottom w:val="nil"/>
                    <w:right w:val="single" w:sz="4" w:space="0" w:color="auto"/>
                  </w:tcBorders>
                  <w:shd w:val="clear" w:color="auto" w:fill="auto"/>
                  <w:noWrap/>
                </w:tcPr>
                <w:p w14:paraId="339BC3CB" w14:textId="266FD0BE" w:rsidR="00F751F0" w:rsidRPr="00F751F0" w:rsidRDefault="00F751F0" w:rsidP="00F751F0">
                  <w:pPr>
                    <w:spacing w:after="0"/>
                    <w:jc w:val="right"/>
                    <w:rPr>
                      <w:rFonts w:cs="Arial"/>
                      <w:sz w:val="18"/>
                      <w:szCs w:val="18"/>
                    </w:rPr>
                  </w:pPr>
                </w:p>
              </w:tc>
              <w:tc>
                <w:tcPr>
                  <w:tcW w:w="1418" w:type="dxa"/>
                  <w:gridSpan w:val="2"/>
                  <w:tcBorders>
                    <w:top w:val="nil"/>
                    <w:left w:val="nil"/>
                    <w:bottom w:val="nil"/>
                    <w:right w:val="nil"/>
                  </w:tcBorders>
                  <w:shd w:val="clear" w:color="auto" w:fill="auto"/>
                  <w:noWrap/>
                </w:tcPr>
                <w:p w14:paraId="78C94808" w14:textId="77777777" w:rsidR="00F751F0" w:rsidRDefault="00F751F0" w:rsidP="00F751F0">
                  <w:pPr>
                    <w:spacing w:after="0"/>
                    <w:rPr>
                      <w:rFonts w:cs="Arial"/>
                      <w:sz w:val="18"/>
                      <w:szCs w:val="18"/>
                    </w:rPr>
                  </w:pPr>
                  <w:r>
                    <w:rPr>
                      <w:rFonts w:cs="Arial"/>
                      <w:sz w:val="18"/>
                      <w:szCs w:val="18"/>
                    </w:rPr>
                    <w:t xml:space="preserve">Verbindlichkeiten gegenüber </w:t>
                  </w:r>
                  <w:proofErr w:type="spellStart"/>
                  <w:r>
                    <w:rPr>
                      <w:rFonts w:cs="Arial"/>
                      <w:sz w:val="18"/>
                      <w:szCs w:val="18"/>
                    </w:rPr>
                    <w:t>Sparbank</w:t>
                  </w:r>
                  <w:proofErr w:type="spellEnd"/>
                  <w:r>
                    <w:rPr>
                      <w:rFonts w:cs="Arial"/>
                      <w:sz w:val="18"/>
                      <w:szCs w:val="18"/>
                    </w:rPr>
                    <w:t xml:space="preserve"> AG</w:t>
                  </w:r>
                </w:p>
                <w:p w14:paraId="4D3B073A" w14:textId="77777777" w:rsidR="00F751F0" w:rsidRDefault="00F751F0" w:rsidP="00F751F0">
                  <w:pPr>
                    <w:spacing w:after="0"/>
                    <w:rPr>
                      <w:rFonts w:cs="Arial"/>
                      <w:sz w:val="18"/>
                      <w:szCs w:val="18"/>
                    </w:rPr>
                  </w:pPr>
                </w:p>
                <w:p w14:paraId="79B30CEC" w14:textId="0F324CDC" w:rsidR="00F751F0" w:rsidRPr="00E0513E" w:rsidRDefault="00F751F0" w:rsidP="00F751F0">
                  <w:pPr>
                    <w:spacing w:after="0"/>
                    <w:rPr>
                      <w:rFonts w:cs="Arial"/>
                      <w:sz w:val="18"/>
                      <w:szCs w:val="18"/>
                    </w:rPr>
                  </w:pPr>
                  <w:r>
                    <w:rPr>
                      <w:rFonts w:cs="Arial"/>
                      <w:sz w:val="18"/>
                      <w:szCs w:val="18"/>
                    </w:rPr>
                    <w:t>Verbindlichkeiten gegenüber XY-Bank AG</w:t>
                  </w:r>
                </w:p>
              </w:tc>
              <w:tc>
                <w:tcPr>
                  <w:tcW w:w="850" w:type="dxa"/>
                  <w:tcBorders>
                    <w:top w:val="nil"/>
                    <w:left w:val="nil"/>
                    <w:bottom w:val="nil"/>
                    <w:right w:val="nil"/>
                  </w:tcBorders>
                  <w:shd w:val="clear" w:color="auto" w:fill="auto"/>
                  <w:noWrap/>
                </w:tcPr>
                <w:p w14:paraId="5A04CD6E" w14:textId="77777777" w:rsidR="00F751F0" w:rsidRDefault="00F751F0" w:rsidP="00F751F0">
                  <w:pPr>
                    <w:spacing w:after="0"/>
                    <w:jc w:val="right"/>
                    <w:rPr>
                      <w:rFonts w:cs="Arial"/>
                      <w:sz w:val="18"/>
                      <w:szCs w:val="18"/>
                    </w:rPr>
                  </w:pPr>
                </w:p>
                <w:p w14:paraId="5DE5A280" w14:textId="77777777" w:rsidR="00F751F0" w:rsidRDefault="00F751F0" w:rsidP="00F751F0">
                  <w:pPr>
                    <w:spacing w:after="0"/>
                    <w:jc w:val="right"/>
                    <w:rPr>
                      <w:rFonts w:cs="Arial"/>
                      <w:sz w:val="18"/>
                      <w:szCs w:val="18"/>
                    </w:rPr>
                  </w:pPr>
                </w:p>
                <w:p w14:paraId="52E1563D" w14:textId="2096D4C2" w:rsidR="00F751F0" w:rsidRDefault="00F751F0" w:rsidP="00F751F0">
                  <w:pPr>
                    <w:spacing w:after="0"/>
                    <w:jc w:val="right"/>
                    <w:rPr>
                      <w:rFonts w:cs="Arial"/>
                      <w:sz w:val="18"/>
                      <w:szCs w:val="18"/>
                    </w:rPr>
                  </w:pPr>
                  <w:r>
                    <w:rPr>
                      <w:rFonts w:cs="Arial"/>
                      <w:sz w:val="18"/>
                      <w:szCs w:val="18"/>
                    </w:rPr>
                    <w:t>- 20.000</w:t>
                  </w:r>
                </w:p>
                <w:p w14:paraId="052CD9CB" w14:textId="77777777" w:rsidR="00F751F0" w:rsidRDefault="00F751F0" w:rsidP="00F751F0">
                  <w:pPr>
                    <w:spacing w:after="0"/>
                    <w:jc w:val="right"/>
                    <w:rPr>
                      <w:rFonts w:cs="Arial"/>
                      <w:sz w:val="18"/>
                      <w:szCs w:val="18"/>
                    </w:rPr>
                  </w:pPr>
                </w:p>
                <w:p w14:paraId="3E93F7D7" w14:textId="77777777" w:rsidR="00F751F0" w:rsidRDefault="00F751F0" w:rsidP="00F751F0">
                  <w:pPr>
                    <w:spacing w:after="0"/>
                    <w:jc w:val="right"/>
                    <w:rPr>
                      <w:rFonts w:cs="Arial"/>
                      <w:sz w:val="18"/>
                      <w:szCs w:val="18"/>
                    </w:rPr>
                  </w:pPr>
                </w:p>
                <w:p w14:paraId="2CA3A2E2" w14:textId="77777777" w:rsidR="00F751F0" w:rsidRDefault="00F751F0" w:rsidP="00F751F0">
                  <w:pPr>
                    <w:spacing w:after="0"/>
                    <w:jc w:val="right"/>
                    <w:rPr>
                      <w:rFonts w:cs="Arial"/>
                      <w:sz w:val="18"/>
                      <w:szCs w:val="18"/>
                    </w:rPr>
                  </w:pPr>
                </w:p>
                <w:p w14:paraId="6503B331" w14:textId="135E7F76" w:rsidR="00F751F0" w:rsidRPr="00E0513E" w:rsidRDefault="00F751F0" w:rsidP="00F751F0">
                  <w:pPr>
                    <w:spacing w:after="0"/>
                    <w:jc w:val="right"/>
                    <w:rPr>
                      <w:rFonts w:cs="Arial"/>
                      <w:sz w:val="18"/>
                      <w:szCs w:val="18"/>
                    </w:rPr>
                  </w:pPr>
                  <w:r>
                    <w:rPr>
                      <w:rFonts w:cs="Arial"/>
                      <w:sz w:val="18"/>
                      <w:szCs w:val="18"/>
                    </w:rPr>
                    <w:t>20.000</w:t>
                  </w:r>
                </w:p>
              </w:tc>
              <w:tc>
                <w:tcPr>
                  <w:tcW w:w="284" w:type="dxa"/>
                  <w:tcBorders>
                    <w:top w:val="nil"/>
                    <w:left w:val="nil"/>
                    <w:bottom w:val="nil"/>
                    <w:right w:val="nil"/>
                  </w:tcBorders>
                  <w:shd w:val="clear" w:color="auto" w:fill="auto"/>
                  <w:noWrap/>
                  <w:hideMark/>
                </w:tcPr>
                <w:p w14:paraId="59FE4993" w14:textId="77777777" w:rsidR="00F751F0" w:rsidRPr="00813E47" w:rsidRDefault="00F751F0" w:rsidP="00F751F0">
                  <w:pPr>
                    <w:spacing w:after="0"/>
                    <w:rPr>
                      <w:rFonts w:cs="Arial"/>
                      <w:color w:val="000000"/>
                      <w:sz w:val="18"/>
                      <w:szCs w:val="18"/>
                    </w:rPr>
                  </w:pPr>
                </w:p>
              </w:tc>
              <w:tc>
                <w:tcPr>
                  <w:tcW w:w="1275" w:type="dxa"/>
                  <w:gridSpan w:val="2"/>
                  <w:tcBorders>
                    <w:top w:val="nil"/>
                    <w:left w:val="nil"/>
                    <w:bottom w:val="nil"/>
                  </w:tcBorders>
                  <w:shd w:val="clear" w:color="auto" w:fill="auto"/>
                  <w:noWrap/>
                </w:tcPr>
                <w:p w14:paraId="0B596007" w14:textId="21297B27" w:rsidR="00F751F0" w:rsidRPr="00E0513E" w:rsidRDefault="00F751F0" w:rsidP="00F751F0">
                  <w:pPr>
                    <w:spacing w:after="0"/>
                    <w:rPr>
                      <w:rFonts w:cs="Arial"/>
                      <w:sz w:val="18"/>
                      <w:szCs w:val="18"/>
                    </w:rPr>
                  </w:pPr>
                </w:p>
              </w:tc>
              <w:tc>
                <w:tcPr>
                  <w:tcW w:w="851" w:type="dxa"/>
                  <w:tcBorders>
                    <w:top w:val="nil"/>
                    <w:bottom w:val="nil"/>
                  </w:tcBorders>
                  <w:shd w:val="clear" w:color="auto" w:fill="auto"/>
                  <w:noWrap/>
                </w:tcPr>
                <w:p w14:paraId="7CEF44A0" w14:textId="6F90CD86" w:rsidR="00F751F0" w:rsidRPr="00E0513E" w:rsidRDefault="00F751F0" w:rsidP="00F751F0">
                  <w:pPr>
                    <w:spacing w:after="0"/>
                    <w:jc w:val="right"/>
                    <w:rPr>
                      <w:rFonts w:cs="Arial"/>
                      <w:sz w:val="18"/>
                      <w:szCs w:val="18"/>
                    </w:rPr>
                  </w:pPr>
                </w:p>
              </w:tc>
              <w:tc>
                <w:tcPr>
                  <w:tcW w:w="1400" w:type="dxa"/>
                  <w:gridSpan w:val="2"/>
                  <w:tcBorders>
                    <w:top w:val="nil"/>
                    <w:bottom w:val="nil"/>
                  </w:tcBorders>
                  <w:shd w:val="clear" w:color="auto" w:fill="auto"/>
                  <w:noWrap/>
                </w:tcPr>
                <w:p w14:paraId="25C126D3" w14:textId="2B3D73D0" w:rsidR="00F751F0" w:rsidRPr="00E0513E" w:rsidRDefault="00F751F0" w:rsidP="00F751F0">
                  <w:pPr>
                    <w:spacing w:after="0"/>
                    <w:rPr>
                      <w:rFonts w:cs="Arial"/>
                      <w:sz w:val="18"/>
                      <w:szCs w:val="18"/>
                    </w:rPr>
                  </w:pPr>
                </w:p>
              </w:tc>
              <w:tc>
                <w:tcPr>
                  <w:tcW w:w="868" w:type="dxa"/>
                  <w:tcBorders>
                    <w:top w:val="nil"/>
                    <w:bottom w:val="nil"/>
                    <w:right w:val="nil"/>
                  </w:tcBorders>
                  <w:shd w:val="clear" w:color="auto" w:fill="auto"/>
                  <w:noWrap/>
                </w:tcPr>
                <w:p w14:paraId="3C3C708F" w14:textId="77777777" w:rsidR="00F751F0" w:rsidRPr="00E0513E" w:rsidRDefault="00F751F0" w:rsidP="00F751F0">
                  <w:pPr>
                    <w:spacing w:after="0"/>
                    <w:jc w:val="right"/>
                    <w:rPr>
                      <w:rFonts w:cs="Arial"/>
                      <w:sz w:val="18"/>
                      <w:szCs w:val="18"/>
                    </w:rPr>
                  </w:pPr>
                </w:p>
              </w:tc>
            </w:tr>
          </w:tbl>
          <w:p w14:paraId="38CCE8F1" w14:textId="5F706897" w:rsidR="005A298C" w:rsidRDefault="005A298C" w:rsidP="007C3A73">
            <w:pPr>
              <w:rPr>
                <w:rFonts w:cs="Arial"/>
              </w:rPr>
            </w:pPr>
          </w:p>
          <w:p w14:paraId="281127F0" w14:textId="6C371C2D" w:rsidR="005A298C" w:rsidRDefault="005A298C" w:rsidP="007C3A73">
            <w:pPr>
              <w:rPr>
                <w:rFonts w:cs="Arial"/>
              </w:rPr>
            </w:pPr>
            <w:r>
              <w:rPr>
                <w:rFonts w:cs="Arial"/>
              </w:rPr>
              <w:t>Durch die Überweisung des Kaufpr</w:t>
            </w:r>
            <w:r w:rsidR="006940BF">
              <w:rPr>
                <w:rFonts w:cs="Arial"/>
              </w:rPr>
              <w:t xml:space="preserve">eises kommt es bei der </w:t>
            </w:r>
            <w:proofErr w:type="spellStart"/>
            <w:r w:rsidR="006940BF">
              <w:rPr>
                <w:rFonts w:cs="Arial"/>
              </w:rPr>
              <w:t>Sparbank</w:t>
            </w:r>
            <w:proofErr w:type="spellEnd"/>
            <w:r w:rsidR="006940BF">
              <w:rPr>
                <w:rFonts w:cs="Arial"/>
              </w:rPr>
              <w:t> </w:t>
            </w:r>
            <w:r>
              <w:rPr>
                <w:rFonts w:cs="Arial"/>
              </w:rPr>
              <w:t>AG wieder zu einer Bilanzverkürzung auf das ursprüngliche Niveau. Das von ihr neu gescha</w:t>
            </w:r>
            <w:r w:rsidR="00913E02">
              <w:rPr>
                <w:rFonts w:cs="Arial"/>
              </w:rPr>
              <w:t>ffene Giralgeld ist zur XY-Bank </w:t>
            </w:r>
            <w:r>
              <w:rPr>
                <w:rFonts w:cs="Arial"/>
              </w:rPr>
              <w:t>AG geflossen, deren Bilanz sich dadurch verlängert. Die Bilanzsumme der Zentralbank bleibt hingegen unverändert, es kommt hier nur zu einem Passivtausch bei den Einlagen der Geschäftsbanken (den Verbindlichkeiten der Zentralbank).</w:t>
            </w:r>
          </w:p>
          <w:p w14:paraId="3535F97B" w14:textId="77777777" w:rsidR="005A298C" w:rsidRPr="00736571" w:rsidRDefault="005A298C" w:rsidP="007C3A73">
            <w:pPr>
              <w:rPr>
                <w:rFonts w:cs="Arial"/>
              </w:rPr>
            </w:pPr>
          </w:p>
        </w:tc>
      </w:tr>
      <w:tr w:rsidR="00026805" w14:paraId="4117C7EC" w14:textId="77777777" w:rsidTr="006940BF">
        <w:tc>
          <w:tcPr>
            <w:tcW w:w="9628" w:type="dxa"/>
          </w:tcPr>
          <w:p w14:paraId="137F2852" w14:textId="47D05A95" w:rsidR="00026805" w:rsidRPr="006940BF" w:rsidRDefault="006940BF" w:rsidP="006940BF">
            <w:pPr>
              <w:spacing w:before="240" w:after="240"/>
              <w:jc w:val="center"/>
              <w:rPr>
                <w:rFonts w:cs="Arial"/>
                <w:b/>
                <w:bCs/>
              </w:rPr>
            </w:pPr>
            <w:r>
              <w:rPr>
                <w:rFonts w:cs="Arial"/>
                <w:b/>
                <w:bCs/>
              </w:rPr>
              <w:lastRenderedPageBreak/>
              <w:t>Geldmengenabgrenzungen</w:t>
            </w:r>
          </w:p>
          <w:p w14:paraId="103A7FB9" w14:textId="2BAFC129" w:rsidR="00026805" w:rsidRPr="00FE3B0F" w:rsidRDefault="00026805" w:rsidP="007C3A73">
            <w:pPr>
              <w:pStyle w:val="Listenabsatz"/>
              <w:numPr>
                <w:ilvl w:val="0"/>
                <w:numId w:val="7"/>
              </w:numPr>
              <w:rPr>
                <w:rFonts w:cs="Arial"/>
              </w:rPr>
            </w:pPr>
            <w:r w:rsidRPr="00FE3B0F">
              <w:rPr>
                <w:rFonts w:cs="Arial"/>
              </w:rPr>
              <w:t xml:space="preserve">Geldbasis </w:t>
            </w:r>
            <w:r w:rsidR="00A63FB6">
              <w:rPr>
                <w:rFonts w:cs="Arial"/>
              </w:rPr>
              <w:t xml:space="preserve">M0 </w:t>
            </w:r>
            <w:r w:rsidR="006940BF">
              <w:rPr>
                <w:rFonts w:cs="Arial"/>
              </w:rPr>
              <w:t>(= Zentralbankgeldmenge)</w:t>
            </w:r>
          </w:p>
          <w:p w14:paraId="2F429CF2" w14:textId="4B8CFA3F" w:rsidR="00026805" w:rsidRPr="00FE3B0F" w:rsidRDefault="00026805" w:rsidP="007C3A73">
            <w:pPr>
              <w:pStyle w:val="Listenabsatz"/>
              <w:ind w:left="360"/>
              <w:rPr>
                <w:rFonts w:cs="Arial"/>
              </w:rPr>
            </w:pPr>
            <w:r w:rsidRPr="00FE3B0F">
              <w:rPr>
                <w:rFonts w:cs="Arial"/>
              </w:rPr>
              <w:t>=</w:t>
            </w:r>
            <w:r w:rsidRPr="00FE3B0F">
              <w:rPr>
                <w:rFonts w:cs="Arial"/>
              </w:rPr>
              <w:tab/>
            </w:r>
            <w:r>
              <w:rPr>
                <w:rFonts w:cs="Arial"/>
              </w:rPr>
              <w:t xml:space="preserve">Bargeld bei Banken und Nichtbanken </w:t>
            </w:r>
            <w:r w:rsidRPr="00FE3B0F">
              <w:rPr>
                <w:rFonts w:cs="Arial"/>
              </w:rPr>
              <w:t xml:space="preserve">+ </w:t>
            </w:r>
            <w:r w:rsidR="00202E75">
              <w:rPr>
                <w:rFonts w:cs="Arial"/>
              </w:rPr>
              <w:t>Zentralbankg</w:t>
            </w:r>
            <w:r w:rsidRPr="00FE3B0F">
              <w:rPr>
                <w:rFonts w:cs="Arial"/>
              </w:rPr>
              <w:t xml:space="preserve">uthaben der </w:t>
            </w:r>
            <w:r>
              <w:rPr>
                <w:rFonts w:cs="Arial"/>
              </w:rPr>
              <w:t>Geschäftsb</w:t>
            </w:r>
            <w:r w:rsidRPr="00FE3B0F">
              <w:rPr>
                <w:rFonts w:cs="Arial"/>
              </w:rPr>
              <w:t>anken</w:t>
            </w:r>
          </w:p>
          <w:p w14:paraId="298BC75B" w14:textId="77777777" w:rsidR="00026805" w:rsidRDefault="00026805" w:rsidP="007C3A73">
            <w:pPr>
              <w:pStyle w:val="Listenabsatz"/>
              <w:ind w:left="360"/>
              <w:rPr>
                <w:rFonts w:cs="Arial"/>
              </w:rPr>
            </w:pPr>
          </w:p>
          <w:p w14:paraId="726BC6EC" w14:textId="77777777" w:rsidR="00026805" w:rsidRDefault="00026805" w:rsidP="007C3A73">
            <w:pPr>
              <w:pStyle w:val="Listenabsatz"/>
              <w:numPr>
                <w:ilvl w:val="0"/>
                <w:numId w:val="7"/>
              </w:numPr>
              <w:rPr>
                <w:rFonts w:cs="Arial"/>
              </w:rPr>
            </w:pPr>
            <w:r w:rsidRPr="00FE3B0F">
              <w:rPr>
                <w:rFonts w:cs="Arial"/>
              </w:rPr>
              <w:t>Geldmenge M1</w:t>
            </w:r>
            <w:r w:rsidRPr="00FE3B0F">
              <w:rPr>
                <w:rFonts w:cs="Arial"/>
              </w:rPr>
              <w:tab/>
              <w:t>=</w:t>
            </w:r>
            <w:r w:rsidRPr="00FE3B0F">
              <w:rPr>
                <w:rFonts w:cs="Arial"/>
              </w:rPr>
              <w:tab/>
              <w:t>Bargeld</w:t>
            </w:r>
            <w:r>
              <w:rPr>
                <w:rFonts w:cs="Arial"/>
              </w:rPr>
              <w:t xml:space="preserve"> bei Nichtbanken</w:t>
            </w:r>
            <w:r w:rsidRPr="00FE3B0F">
              <w:rPr>
                <w:rFonts w:cs="Arial"/>
              </w:rPr>
              <w:t xml:space="preserve"> + Sichtguthaben bei Banken</w:t>
            </w:r>
          </w:p>
          <w:p w14:paraId="2BBB35E9" w14:textId="77777777" w:rsidR="00026805" w:rsidRPr="00FE3B0F" w:rsidRDefault="00026805" w:rsidP="007C3A73">
            <w:pPr>
              <w:pStyle w:val="Listenabsatz"/>
              <w:ind w:left="360"/>
              <w:rPr>
                <w:rFonts w:cs="Arial"/>
              </w:rPr>
            </w:pPr>
          </w:p>
          <w:p w14:paraId="480FEDF5" w14:textId="3AD0226A" w:rsidR="00026805" w:rsidRPr="00FE3B0F" w:rsidRDefault="00026805" w:rsidP="007C3A73">
            <w:pPr>
              <w:pStyle w:val="Listenabsatz"/>
              <w:numPr>
                <w:ilvl w:val="0"/>
                <w:numId w:val="7"/>
              </w:numPr>
              <w:rPr>
                <w:rFonts w:cs="Arial"/>
              </w:rPr>
            </w:pPr>
            <w:r w:rsidRPr="00FE3B0F">
              <w:rPr>
                <w:rFonts w:cs="Arial"/>
              </w:rPr>
              <w:t>Geldmenge M2</w:t>
            </w:r>
            <w:r w:rsidRPr="00FE3B0F">
              <w:rPr>
                <w:rFonts w:cs="Arial"/>
              </w:rPr>
              <w:tab/>
              <w:t>=</w:t>
            </w:r>
            <w:r w:rsidRPr="00FE3B0F">
              <w:rPr>
                <w:rFonts w:cs="Arial"/>
              </w:rPr>
              <w:tab/>
              <w:t xml:space="preserve">M1 + Einlagen mit einer vereinbarten Kündigungsfrist bis </w:t>
            </w:r>
            <w:r w:rsidR="00D71DAB">
              <w:rPr>
                <w:rFonts w:cs="Arial"/>
              </w:rPr>
              <w:t>3</w:t>
            </w:r>
            <w:r w:rsidR="008D2802">
              <w:rPr>
                <w:rFonts w:cs="Arial"/>
              </w:rPr>
              <w:t> </w:t>
            </w:r>
            <w:r>
              <w:rPr>
                <w:rFonts w:cs="Arial"/>
              </w:rPr>
              <w:t>Monate</w:t>
            </w:r>
          </w:p>
          <w:p w14:paraId="2628A054" w14:textId="6D7C5D53" w:rsidR="00026805" w:rsidRDefault="00026805" w:rsidP="007C3A73">
            <w:pPr>
              <w:pStyle w:val="Listenabsatz"/>
              <w:ind w:left="2832"/>
              <w:rPr>
                <w:rFonts w:cs="Arial"/>
              </w:rPr>
            </w:pPr>
            <w:r w:rsidRPr="00FE3B0F">
              <w:rPr>
                <w:rFonts w:cs="Arial"/>
              </w:rPr>
              <w:t>+ Einlagen mit einer verei</w:t>
            </w:r>
            <w:r w:rsidR="00D71DAB">
              <w:rPr>
                <w:rFonts w:cs="Arial"/>
              </w:rPr>
              <w:t>nbarten Laufzeit von bis zu 2</w:t>
            </w:r>
            <w:r w:rsidR="008D2802">
              <w:rPr>
                <w:rFonts w:cs="Arial"/>
              </w:rPr>
              <w:t> </w:t>
            </w:r>
            <w:r w:rsidRPr="00FE3B0F">
              <w:rPr>
                <w:rFonts w:cs="Arial"/>
              </w:rPr>
              <w:t>Jahren</w:t>
            </w:r>
          </w:p>
          <w:p w14:paraId="7F9B8590" w14:textId="77777777" w:rsidR="00026805" w:rsidRPr="00FE3B0F" w:rsidRDefault="00026805" w:rsidP="007C3A73">
            <w:pPr>
              <w:pStyle w:val="Listenabsatz"/>
              <w:ind w:left="2832"/>
              <w:rPr>
                <w:rFonts w:cs="Arial"/>
              </w:rPr>
            </w:pPr>
          </w:p>
          <w:p w14:paraId="0C5FD75B" w14:textId="77777777" w:rsidR="00026805" w:rsidRPr="00FE3B0F" w:rsidRDefault="00026805" w:rsidP="007C3A73">
            <w:pPr>
              <w:pStyle w:val="Listenabsatz"/>
              <w:numPr>
                <w:ilvl w:val="0"/>
                <w:numId w:val="7"/>
              </w:numPr>
              <w:rPr>
                <w:rFonts w:cs="Arial"/>
              </w:rPr>
            </w:pPr>
            <w:r w:rsidRPr="00FE3B0F">
              <w:rPr>
                <w:rFonts w:cs="Arial"/>
              </w:rPr>
              <w:t>Geldmenge M3</w:t>
            </w:r>
            <w:r w:rsidRPr="00FE3B0F">
              <w:rPr>
                <w:rFonts w:cs="Arial"/>
              </w:rPr>
              <w:tab/>
              <w:t>=</w:t>
            </w:r>
            <w:r w:rsidRPr="00FE3B0F">
              <w:rPr>
                <w:rFonts w:cs="Arial"/>
              </w:rPr>
              <w:tab/>
              <w:t xml:space="preserve">M2 + </w:t>
            </w:r>
            <w:proofErr w:type="spellStart"/>
            <w:r w:rsidRPr="00FE3B0F">
              <w:rPr>
                <w:rFonts w:cs="Arial"/>
              </w:rPr>
              <w:t>Repo</w:t>
            </w:r>
            <w:proofErr w:type="spellEnd"/>
            <w:r w:rsidRPr="00FE3B0F">
              <w:rPr>
                <w:rFonts w:cs="Arial"/>
              </w:rPr>
              <w:t>-Geschäfte + Geldmarktfondsanteile</w:t>
            </w:r>
            <w:r>
              <w:rPr>
                <w:rFonts w:cs="Arial"/>
              </w:rPr>
              <w:t xml:space="preserve">, </w:t>
            </w:r>
            <w:r w:rsidRPr="00FE3B0F">
              <w:rPr>
                <w:rFonts w:cs="Arial"/>
              </w:rPr>
              <w:t>Geldmarktpapiere</w:t>
            </w:r>
          </w:p>
          <w:p w14:paraId="24CAC855" w14:textId="0CA11850" w:rsidR="00026805" w:rsidRDefault="00026805" w:rsidP="007C3A73">
            <w:pPr>
              <w:pStyle w:val="Listenabsatz"/>
              <w:ind w:left="2832"/>
              <w:rPr>
                <w:rFonts w:cs="Arial"/>
              </w:rPr>
            </w:pPr>
            <w:r w:rsidRPr="00FE3B0F">
              <w:rPr>
                <w:rFonts w:cs="Arial"/>
              </w:rPr>
              <w:t>+ Schuldverschreibungen mi</w:t>
            </w:r>
            <w:r w:rsidR="00D71DAB">
              <w:rPr>
                <w:rFonts w:cs="Arial"/>
              </w:rPr>
              <w:t>t einer Laufzeit von bis zu 2</w:t>
            </w:r>
            <w:r w:rsidR="008D2802">
              <w:rPr>
                <w:rFonts w:cs="Arial"/>
              </w:rPr>
              <w:t> </w:t>
            </w:r>
            <w:r w:rsidRPr="00FE3B0F">
              <w:rPr>
                <w:rFonts w:cs="Arial"/>
              </w:rPr>
              <w:t>Jahren</w:t>
            </w:r>
          </w:p>
          <w:p w14:paraId="53D58337" w14:textId="33D59BE7" w:rsidR="00F27DEC" w:rsidRPr="00F27DEC" w:rsidRDefault="00F27DEC" w:rsidP="00F27DEC">
            <w:pPr>
              <w:rPr>
                <w:rFonts w:cs="Arial"/>
              </w:rPr>
            </w:pPr>
          </w:p>
        </w:tc>
      </w:tr>
      <w:tr w:rsidR="00026805" w14:paraId="76B06EBC" w14:textId="77777777" w:rsidTr="00D61CDA">
        <w:tblPrEx>
          <w:tblCellMar>
            <w:left w:w="70" w:type="dxa"/>
            <w:right w:w="70" w:type="dxa"/>
          </w:tblCellMar>
        </w:tblPrEx>
        <w:tc>
          <w:tcPr>
            <w:tcW w:w="9628" w:type="dxa"/>
          </w:tcPr>
          <w:p w14:paraId="445A7BBE" w14:textId="30A410F9" w:rsidR="00026805" w:rsidRPr="006940BF" w:rsidRDefault="00026805" w:rsidP="006940BF">
            <w:pPr>
              <w:spacing w:before="240" w:after="240"/>
              <w:jc w:val="center"/>
              <w:rPr>
                <w:rFonts w:cs="Arial"/>
                <w:b/>
                <w:bCs/>
              </w:rPr>
            </w:pPr>
            <w:r w:rsidRPr="008D0771">
              <w:rPr>
                <w:rFonts w:cs="Arial"/>
                <w:b/>
                <w:bCs/>
              </w:rPr>
              <w:lastRenderedPageBreak/>
              <w:t xml:space="preserve">Entwicklung der </w:t>
            </w:r>
            <w:proofErr w:type="spellStart"/>
            <w:r w:rsidR="006B515B">
              <w:rPr>
                <w:rFonts w:cs="Arial"/>
                <w:b/>
                <w:bCs/>
              </w:rPr>
              <w:t>Giralgeldschöpfung</w:t>
            </w:r>
            <w:proofErr w:type="spellEnd"/>
            <w:r w:rsidR="006940BF">
              <w:rPr>
                <w:rFonts w:cs="Arial"/>
                <w:b/>
                <w:bCs/>
              </w:rPr>
              <w:t xml:space="preserve"> im Euroraum</w:t>
            </w:r>
          </w:p>
          <w:p w14:paraId="5E4A06A8" w14:textId="1B58744C" w:rsidR="00026805" w:rsidRDefault="00026805" w:rsidP="007C3A73">
            <w:pPr>
              <w:rPr>
                <w:rFonts w:cs="Arial"/>
              </w:rPr>
            </w:pPr>
            <w:r>
              <w:rPr>
                <w:rFonts w:cs="Arial"/>
              </w:rPr>
              <w:t>Die Geldmenge M3 ist im Euroraum zwischen</w:t>
            </w:r>
            <w:r w:rsidR="00F27DEC">
              <w:rPr>
                <w:rFonts w:cs="Arial"/>
              </w:rPr>
              <w:t xml:space="preserve"> 1980 und 2020 um mehr als 1000 </w:t>
            </w:r>
            <w:r>
              <w:rPr>
                <w:rFonts w:cs="Arial"/>
              </w:rPr>
              <w:t>% von etwa 1</w:t>
            </w:r>
            <w:r w:rsidR="0024431A">
              <w:rPr>
                <w:rFonts w:cs="Arial"/>
              </w:rPr>
              <w:t>.</w:t>
            </w:r>
            <w:r w:rsidR="00F27DEC">
              <w:rPr>
                <w:rFonts w:cs="Arial"/>
              </w:rPr>
              <w:t>300 Mrd. </w:t>
            </w:r>
            <w:r>
              <w:rPr>
                <w:rFonts w:cs="Arial"/>
              </w:rPr>
              <w:t>Euro auf etwa 14</w:t>
            </w:r>
            <w:r w:rsidR="0024431A">
              <w:rPr>
                <w:rFonts w:cs="Arial"/>
              </w:rPr>
              <w:t>.</w:t>
            </w:r>
            <w:r>
              <w:rPr>
                <w:rFonts w:cs="Arial"/>
              </w:rPr>
              <w:t>500</w:t>
            </w:r>
            <w:r w:rsidR="00F27DEC">
              <w:rPr>
                <w:rFonts w:cs="Arial"/>
              </w:rPr>
              <w:t> </w:t>
            </w:r>
            <w:r>
              <w:rPr>
                <w:rFonts w:cs="Arial"/>
              </w:rPr>
              <w:t>Mrd. Euro angestiegen. Auch der Anstieg zwischen 1991 und 2020 von mehr als 380 % ist beträchtlich.</w:t>
            </w:r>
          </w:p>
          <w:p w14:paraId="58EE5025" w14:textId="77777777" w:rsidR="00026805" w:rsidRDefault="00026805" w:rsidP="007C3A73">
            <w:pPr>
              <w:rPr>
                <w:rFonts w:cs="Arial"/>
              </w:rPr>
            </w:pPr>
          </w:p>
          <w:tbl>
            <w:tblPr>
              <w:tblStyle w:val="Tabellenraster"/>
              <w:tblW w:w="0" w:type="auto"/>
              <w:tblLook w:val="04A0" w:firstRow="1" w:lastRow="0" w:firstColumn="1" w:lastColumn="0" w:noHBand="0" w:noVBand="1"/>
            </w:tblPr>
            <w:tblGrid>
              <w:gridCol w:w="1338"/>
              <w:gridCol w:w="1152"/>
              <w:gridCol w:w="1152"/>
              <w:gridCol w:w="1152"/>
              <w:gridCol w:w="1152"/>
              <w:gridCol w:w="1152"/>
              <w:gridCol w:w="1152"/>
              <w:gridCol w:w="1152"/>
            </w:tblGrid>
            <w:tr w:rsidR="00026805" w:rsidRPr="00F27DEC" w14:paraId="419D9CF1" w14:textId="77777777" w:rsidTr="00F27DEC">
              <w:trPr>
                <w:trHeight w:val="794"/>
              </w:trPr>
              <w:tc>
                <w:tcPr>
                  <w:tcW w:w="1338" w:type="dxa"/>
                  <w:vAlign w:val="center"/>
                </w:tcPr>
                <w:p w14:paraId="647185C3" w14:textId="397927CE" w:rsidR="00026805" w:rsidRPr="00F27DEC" w:rsidRDefault="00F27DEC" w:rsidP="007C3A73">
                  <w:pPr>
                    <w:rPr>
                      <w:rFonts w:cs="Arial"/>
                      <w:sz w:val="20"/>
                      <w:szCs w:val="20"/>
                    </w:rPr>
                  </w:pPr>
                  <w:r w:rsidRPr="00F27DEC">
                    <w:rPr>
                      <w:rFonts w:cs="Arial"/>
                      <w:sz w:val="20"/>
                      <w:szCs w:val="20"/>
                    </w:rPr>
                    <w:t>Ende Jahr</w:t>
                  </w:r>
                </w:p>
              </w:tc>
              <w:tc>
                <w:tcPr>
                  <w:tcW w:w="1152" w:type="dxa"/>
                  <w:vAlign w:val="center"/>
                </w:tcPr>
                <w:p w14:paraId="20AFCD67" w14:textId="77777777" w:rsidR="00026805" w:rsidRPr="00F27DEC" w:rsidRDefault="00026805" w:rsidP="007C3A73">
                  <w:pPr>
                    <w:jc w:val="center"/>
                    <w:rPr>
                      <w:rFonts w:cs="Arial"/>
                      <w:sz w:val="20"/>
                      <w:szCs w:val="20"/>
                    </w:rPr>
                  </w:pPr>
                  <w:r w:rsidRPr="00F27DEC">
                    <w:rPr>
                      <w:rFonts w:cs="Arial"/>
                      <w:sz w:val="20"/>
                      <w:szCs w:val="20"/>
                    </w:rPr>
                    <w:t>1980</w:t>
                  </w:r>
                </w:p>
              </w:tc>
              <w:tc>
                <w:tcPr>
                  <w:tcW w:w="1152" w:type="dxa"/>
                  <w:vAlign w:val="center"/>
                </w:tcPr>
                <w:p w14:paraId="089AF474" w14:textId="77777777" w:rsidR="00026805" w:rsidRPr="00F27DEC" w:rsidRDefault="00026805" w:rsidP="007C3A73">
                  <w:pPr>
                    <w:jc w:val="center"/>
                    <w:rPr>
                      <w:rFonts w:cs="Arial"/>
                      <w:sz w:val="20"/>
                      <w:szCs w:val="20"/>
                    </w:rPr>
                  </w:pPr>
                  <w:r w:rsidRPr="00F27DEC">
                    <w:rPr>
                      <w:rFonts w:cs="Arial"/>
                      <w:sz w:val="20"/>
                      <w:szCs w:val="20"/>
                    </w:rPr>
                    <w:t>1991</w:t>
                  </w:r>
                </w:p>
              </w:tc>
              <w:tc>
                <w:tcPr>
                  <w:tcW w:w="1152" w:type="dxa"/>
                  <w:vAlign w:val="center"/>
                </w:tcPr>
                <w:p w14:paraId="20C6EB05" w14:textId="77777777" w:rsidR="00026805" w:rsidRPr="00F27DEC" w:rsidRDefault="00026805" w:rsidP="007C3A73">
                  <w:pPr>
                    <w:jc w:val="center"/>
                    <w:rPr>
                      <w:rFonts w:cs="Arial"/>
                      <w:sz w:val="20"/>
                      <w:szCs w:val="20"/>
                    </w:rPr>
                  </w:pPr>
                  <w:r w:rsidRPr="00F27DEC">
                    <w:rPr>
                      <w:rFonts w:cs="Arial"/>
                      <w:sz w:val="20"/>
                      <w:szCs w:val="20"/>
                    </w:rPr>
                    <w:t>2000</w:t>
                  </w:r>
                </w:p>
              </w:tc>
              <w:tc>
                <w:tcPr>
                  <w:tcW w:w="1152" w:type="dxa"/>
                  <w:vAlign w:val="center"/>
                </w:tcPr>
                <w:p w14:paraId="5D6C39E1" w14:textId="77777777" w:rsidR="00026805" w:rsidRPr="00F27DEC" w:rsidRDefault="00026805" w:rsidP="007C3A73">
                  <w:pPr>
                    <w:jc w:val="center"/>
                    <w:rPr>
                      <w:rFonts w:cs="Arial"/>
                      <w:sz w:val="20"/>
                      <w:szCs w:val="20"/>
                    </w:rPr>
                  </w:pPr>
                  <w:r w:rsidRPr="00F27DEC">
                    <w:rPr>
                      <w:rFonts w:cs="Arial"/>
                      <w:sz w:val="20"/>
                      <w:szCs w:val="20"/>
                    </w:rPr>
                    <w:t>2005</w:t>
                  </w:r>
                </w:p>
              </w:tc>
              <w:tc>
                <w:tcPr>
                  <w:tcW w:w="1152" w:type="dxa"/>
                  <w:vAlign w:val="center"/>
                </w:tcPr>
                <w:p w14:paraId="2CD21FBB" w14:textId="77777777" w:rsidR="00026805" w:rsidRPr="00F27DEC" w:rsidRDefault="00026805" w:rsidP="007C3A73">
                  <w:pPr>
                    <w:jc w:val="center"/>
                    <w:rPr>
                      <w:rFonts w:cs="Arial"/>
                      <w:sz w:val="20"/>
                      <w:szCs w:val="20"/>
                    </w:rPr>
                  </w:pPr>
                  <w:r w:rsidRPr="00F27DEC">
                    <w:rPr>
                      <w:rFonts w:cs="Arial"/>
                      <w:sz w:val="20"/>
                      <w:szCs w:val="20"/>
                    </w:rPr>
                    <w:t>2010</w:t>
                  </w:r>
                </w:p>
              </w:tc>
              <w:tc>
                <w:tcPr>
                  <w:tcW w:w="1152" w:type="dxa"/>
                  <w:vAlign w:val="center"/>
                </w:tcPr>
                <w:p w14:paraId="7AB071FB" w14:textId="77777777" w:rsidR="00026805" w:rsidRPr="00F27DEC" w:rsidRDefault="00026805" w:rsidP="007C3A73">
                  <w:pPr>
                    <w:jc w:val="center"/>
                    <w:rPr>
                      <w:rFonts w:cs="Arial"/>
                      <w:sz w:val="20"/>
                      <w:szCs w:val="20"/>
                    </w:rPr>
                  </w:pPr>
                  <w:r w:rsidRPr="00F27DEC">
                    <w:rPr>
                      <w:rFonts w:cs="Arial"/>
                      <w:sz w:val="20"/>
                      <w:szCs w:val="20"/>
                    </w:rPr>
                    <w:t>2015</w:t>
                  </w:r>
                </w:p>
              </w:tc>
              <w:tc>
                <w:tcPr>
                  <w:tcW w:w="1152" w:type="dxa"/>
                  <w:vAlign w:val="center"/>
                </w:tcPr>
                <w:p w14:paraId="6632B02D" w14:textId="77777777" w:rsidR="00026805" w:rsidRPr="00F27DEC" w:rsidRDefault="00026805" w:rsidP="007C3A73">
                  <w:pPr>
                    <w:jc w:val="center"/>
                    <w:rPr>
                      <w:rFonts w:cs="Arial"/>
                      <w:sz w:val="20"/>
                      <w:szCs w:val="20"/>
                    </w:rPr>
                  </w:pPr>
                  <w:r w:rsidRPr="00F27DEC">
                    <w:rPr>
                      <w:rFonts w:cs="Arial"/>
                      <w:sz w:val="20"/>
                      <w:szCs w:val="20"/>
                    </w:rPr>
                    <w:t>2020</w:t>
                  </w:r>
                </w:p>
              </w:tc>
            </w:tr>
            <w:tr w:rsidR="00026805" w:rsidRPr="00F27DEC" w14:paraId="5A69796F" w14:textId="77777777" w:rsidTr="00F27DEC">
              <w:trPr>
                <w:trHeight w:val="794"/>
              </w:trPr>
              <w:tc>
                <w:tcPr>
                  <w:tcW w:w="1338" w:type="dxa"/>
                  <w:vAlign w:val="center"/>
                </w:tcPr>
                <w:p w14:paraId="569AA749" w14:textId="4DC77F7B" w:rsidR="00026805" w:rsidRPr="00F27DEC" w:rsidRDefault="00912F3F" w:rsidP="007C3A73">
                  <w:pPr>
                    <w:rPr>
                      <w:rFonts w:cs="Arial"/>
                      <w:sz w:val="20"/>
                      <w:szCs w:val="20"/>
                    </w:rPr>
                  </w:pPr>
                  <w:r>
                    <w:rPr>
                      <w:rFonts w:cs="Arial"/>
                      <w:sz w:val="20"/>
                      <w:szCs w:val="20"/>
                    </w:rPr>
                    <w:t>Geldmenge M3 in Mrd. EUR</w:t>
                  </w:r>
                </w:p>
              </w:tc>
              <w:tc>
                <w:tcPr>
                  <w:tcW w:w="1152" w:type="dxa"/>
                  <w:vAlign w:val="center"/>
                </w:tcPr>
                <w:p w14:paraId="41C92CB4" w14:textId="5F30E7BD" w:rsidR="00026805" w:rsidRPr="00F27DEC" w:rsidRDefault="00026805" w:rsidP="007C3A73">
                  <w:pPr>
                    <w:rPr>
                      <w:rFonts w:cs="Arial"/>
                      <w:sz w:val="20"/>
                      <w:szCs w:val="20"/>
                    </w:rPr>
                  </w:pPr>
                  <w:r w:rsidRPr="00F27DEC">
                    <w:rPr>
                      <w:rFonts w:cs="Arial"/>
                      <w:sz w:val="20"/>
                      <w:szCs w:val="20"/>
                    </w:rPr>
                    <w:t>ca. 1</w:t>
                  </w:r>
                  <w:r w:rsidR="00F27DEC" w:rsidRPr="00F27DEC">
                    <w:rPr>
                      <w:rFonts w:cs="Arial"/>
                      <w:sz w:val="20"/>
                      <w:szCs w:val="20"/>
                    </w:rPr>
                    <w:t>.</w:t>
                  </w:r>
                  <w:r w:rsidRPr="00F27DEC">
                    <w:rPr>
                      <w:rFonts w:cs="Arial"/>
                      <w:sz w:val="20"/>
                      <w:szCs w:val="20"/>
                    </w:rPr>
                    <w:t>300</w:t>
                  </w:r>
                </w:p>
              </w:tc>
              <w:tc>
                <w:tcPr>
                  <w:tcW w:w="1152" w:type="dxa"/>
                  <w:vAlign w:val="center"/>
                </w:tcPr>
                <w:p w14:paraId="637CAE86" w14:textId="174B6526" w:rsidR="00026805" w:rsidRPr="00F27DEC" w:rsidRDefault="00026805" w:rsidP="007C3A73">
                  <w:pPr>
                    <w:rPr>
                      <w:rFonts w:cs="Arial"/>
                      <w:sz w:val="20"/>
                      <w:szCs w:val="20"/>
                    </w:rPr>
                  </w:pPr>
                  <w:r w:rsidRPr="00F27DEC">
                    <w:rPr>
                      <w:rFonts w:cs="Arial"/>
                      <w:sz w:val="20"/>
                      <w:szCs w:val="20"/>
                    </w:rPr>
                    <w:t>ca. 3</w:t>
                  </w:r>
                  <w:r w:rsidR="00F27DEC" w:rsidRPr="00F27DEC">
                    <w:rPr>
                      <w:rFonts w:cs="Arial"/>
                      <w:sz w:val="20"/>
                      <w:szCs w:val="20"/>
                    </w:rPr>
                    <w:t>.</w:t>
                  </w:r>
                  <w:r w:rsidRPr="00F27DEC">
                    <w:rPr>
                      <w:rFonts w:cs="Arial"/>
                      <w:sz w:val="20"/>
                      <w:szCs w:val="20"/>
                    </w:rPr>
                    <w:t>000</w:t>
                  </w:r>
                </w:p>
              </w:tc>
              <w:tc>
                <w:tcPr>
                  <w:tcW w:w="1152" w:type="dxa"/>
                  <w:vAlign w:val="center"/>
                </w:tcPr>
                <w:p w14:paraId="58D9450B" w14:textId="030A49ED" w:rsidR="00026805" w:rsidRPr="00F27DEC" w:rsidRDefault="00026805" w:rsidP="007C3A73">
                  <w:pPr>
                    <w:rPr>
                      <w:rFonts w:cs="Arial"/>
                      <w:sz w:val="20"/>
                      <w:szCs w:val="20"/>
                    </w:rPr>
                  </w:pPr>
                  <w:r w:rsidRPr="00F27DEC">
                    <w:rPr>
                      <w:rFonts w:cs="Arial"/>
                      <w:sz w:val="20"/>
                      <w:szCs w:val="20"/>
                    </w:rPr>
                    <w:t>ca. 5</w:t>
                  </w:r>
                  <w:r w:rsidR="00F27DEC" w:rsidRPr="00F27DEC">
                    <w:rPr>
                      <w:rFonts w:cs="Arial"/>
                      <w:sz w:val="20"/>
                      <w:szCs w:val="20"/>
                    </w:rPr>
                    <w:t>.</w:t>
                  </w:r>
                  <w:r w:rsidRPr="00F27DEC">
                    <w:rPr>
                      <w:rFonts w:cs="Arial"/>
                      <w:sz w:val="20"/>
                      <w:szCs w:val="20"/>
                    </w:rPr>
                    <w:t>000</w:t>
                  </w:r>
                </w:p>
              </w:tc>
              <w:tc>
                <w:tcPr>
                  <w:tcW w:w="1152" w:type="dxa"/>
                  <w:vAlign w:val="center"/>
                </w:tcPr>
                <w:p w14:paraId="3BCA93CD" w14:textId="4A3D88F8" w:rsidR="00026805" w:rsidRPr="00F27DEC" w:rsidRDefault="00026805" w:rsidP="007C3A73">
                  <w:pPr>
                    <w:rPr>
                      <w:rFonts w:cs="Arial"/>
                      <w:sz w:val="20"/>
                      <w:szCs w:val="20"/>
                    </w:rPr>
                  </w:pPr>
                  <w:r w:rsidRPr="00F27DEC">
                    <w:rPr>
                      <w:rFonts w:cs="Arial"/>
                      <w:sz w:val="20"/>
                      <w:szCs w:val="20"/>
                    </w:rPr>
                    <w:t>ca. 7</w:t>
                  </w:r>
                  <w:r w:rsidR="00F27DEC" w:rsidRPr="00F27DEC">
                    <w:rPr>
                      <w:rFonts w:cs="Arial"/>
                      <w:sz w:val="20"/>
                      <w:szCs w:val="20"/>
                    </w:rPr>
                    <w:t>.</w:t>
                  </w:r>
                  <w:r w:rsidRPr="00F27DEC">
                    <w:rPr>
                      <w:rFonts w:cs="Arial"/>
                      <w:sz w:val="20"/>
                      <w:szCs w:val="20"/>
                    </w:rPr>
                    <w:t>100</w:t>
                  </w:r>
                </w:p>
              </w:tc>
              <w:tc>
                <w:tcPr>
                  <w:tcW w:w="1152" w:type="dxa"/>
                  <w:vAlign w:val="center"/>
                </w:tcPr>
                <w:p w14:paraId="20F64F2C" w14:textId="0C57ADBC" w:rsidR="00026805" w:rsidRPr="00F27DEC" w:rsidRDefault="00026805" w:rsidP="007C3A73">
                  <w:pPr>
                    <w:rPr>
                      <w:rFonts w:cs="Arial"/>
                      <w:sz w:val="20"/>
                      <w:szCs w:val="20"/>
                    </w:rPr>
                  </w:pPr>
                  <w:r w:rsidRPr="00F27DEC">
                    <w:rPr>
                      <w:rFonts w:cs="Arial"/>
                      <w:sz w:val="20"/>
                      <w:szCs w:val="20"/>
                    </w:rPr>
                    <w:t>ca. 9</w:t>
                  </w:r>
                  <w:r w:rsidR="00F27DEC" w:rsidRPr="00F27DEC">
                    <w:rPr>
                      <w:rFonts w:cs="Arial"/>
                      <w:sz w:val="20"/>
                      <w:szCs w:val="20"/>
                    </w:rPr>
                    <w:t>.</w:t>
                  </w:r>
                  <w:r w:rsidRPr="00F27DEC">
                    <w:rPr>
                      <w:rFonts w:cs="Arial"/>
                      <w:sz w:val="20"/>
                      <w:szCs w:val="20"/>
                    </w:rPr>
                    <w:t>100</w:t>
                  </w:r>
                </w:p>
              </w:tc>
              <w:tc>
                <w:tcPr>
                  <w:tcW w:w="1152" w:type="dxa"/>
                  <w:vAlign w:val="center"/>
                </w:tcPr>
                <w:p w14:paraId="7E326A66" w14:textId="1B8172AF" w:rsidR="00026805" w:rsidRPr="00F27DEC" w:rsidRDefault="00026805" w:rsidP="007C3A73">
                  <w:pPr>
                    <w:rPr>
                      <w:rFonts w:cs="Arial"/>
                      <w:sz w:val="20"/>
                      <w:szCs w:val="20"/>
                    </w:rPr>
                  </w:pPr>
                  <w:r w:rsidRPr="00F27DEC">
                    <w:rPr>
                      <w:rFonts w:cs="Arial"/>
                      <w:sz w:val="20"/>
                      <w:szCs w:val="20"/>
                    </w:rPr>
                    <w:t>ca.</w:t>
                  </w:r>
                  <w:r w:rsidR="00F27DEC" w:rsidRPr="00F27DEC">
                    <w:rPr>
                      <w:rFonts w:cs="Arial"/>
                      <w:sz w:val="20"/>
                      <w:szCs w:val="20"/>
                    </w:rPr>
                    <w:t xml:space="preserve"> </w:t>
                  </w:r>
                  <w:r w:rsidRPr="00F27DEC">
                    <w:rPr>
                      <w:rFonts w:cs="Arial"/>
                      <w:sz w:val="20"/>
                      <w:szCs w:val="20"/>
                    </w:rPr>
                    <w:t>10</w:t>
                  </w:r>
                  <w:r w:rsidR="00F27DEC" w:rsidRPr="00F27DEC">
                    <w:rPr>
                      <w:rFonts w:cs="Arial"/>
                      <w:sz w:val="20"/>
                      <w:szCs w:val="20"/>
                    </w:rPr>
                    <w:t>.</w:t>
                  </w:r>
                  <w:r w:rsidRPr="00F27DEC">
                    <w:rPr>
                      <w:rFonts w:cs="Arial"/>
                      <w:sz w:val="20"/>
                      <w:szCs w:val="20"/>
                    </w:rPr>
                    <w:t>900</w:t>
                  </w:r>
                </w:p>
              </w:tc>
              <w:tc>
                <w:tcPr>
                  <w:tcW w:w="1152" w:type="dxa"/>
                  <w:vAlign w:val="center"/>
                </w:tcPr>
                <w:p w14:paraId="0B411258" w14:textId="5E612E5F" w:rsidR="00026805" w:rsidRPr="00F27DEC" w:rsidRDefault="00026805" w:rsidP="007C3A73">
                  <w:pPr>
                    <w:rPr>
                      <w:rFonts w:cs="Arial"/>
                      <w:sz w:val="20"/>
                      <w:szCs w:val="20"/>
                    </w:rPr>
                  </w:pPr>
                  <w:r w:rsidRPr="00F27DEC">
                    <w:rPr>
                      <w:rFonts w:cs="Arial"/>
                      <w:sz w:val="20"/>
                      <w:szCs w:val="20"/>
                    </w:rPr>
                    <w:t>ca.</w:t>
                  </w:r>
                  <w:r w:rsidR="00F27DEC" w:rsidRPr="00F27DEC">
                    <w:rPr>
                      <w:rFonts w:cs="Arial"/>
                      <w:sz w:val="20"/>
                      <w:szCs w:val="20"/>
                    </w:rPr>
                    <w:t xml:space="preserve"> </w:t>
                  </w:r>
                  <w:r w:rsidRPr="00F27DEC">
                    <w:rPr>
                      <w:rFonts w:cs="Arial"/>
                      <w:sz w:val="20"/>
                      <w:szCs w:val="20"/>
                    </w:rPr>
                    <w:t>14</w:t>
                  </w:r>
                  <w:r w:rsidR="00F27DEC" w:rsidRPr="00F27DEC">
                    <w:rPr>
                      <w:rFonts w:cs="Arial"/>
                      <w:sz w:val="20"/>
                      <w:szCs w:val="20"/>
                    </w:rPr>
                    <w:t>.</w:t>
                  </w:r>
                  <w:r w:rsidRPr="00F27DEC">
                    <w:rPr>
                      <w:rFonts w:cs="Arial"/>
                      <w:sz w:val="20"/>
                      <w:szCs w:val="20"/>
                    </w:rPr>
                    <w:t>500</w:t>
                  </w:r>
                </w:p>
              </w:tc>
            </w:tr>
          </w:tbl>
          <w:p w14:paraId="1B646B65" w14:textId="77777777" w:rsidR="00026805" w:rsidRDefault="00026805" w:rsidP="006940BF">
            <w:pPr>
              <w:rPr>
                <w:rFonts w:cs="Arial"/>
              </w:rPr>
            </w:pPr>
          </w:p>
          <w:p w14:paraId="7678D3E2" w14:textId="220CA0CD" w:rsidR="00026805" w:rsidRDefault="00026805" w:rsidP="006940BF">
            <w:pPr>
              <w:rPr>
                <w:rFonts w:cs="Arial"/>
              </w:rPr>
            </w:pPr>
            <w:r>
              <w:rPr>
                <w:rFonts w:cs="Arial"/>
              </w:rPr>
              <w:t>Nach Angaben der Deutschen Bundesbank betrug d</w:t>
            </w:r>
            <w:r w:rsidRPr="00FB6703">
              <w:rPr>
                <w:rFonts w:cs="Arial"/>
              </w:rPr>
              <w:t xml:space="preserve">as Geldvermögen </w:t>
            </w:r>
            <w:r>
              <w:rPr>
                <w:rFonts w:cs="Arial"/>
              </w:rPr>
              <w:t>der privaten Haushalte in Deutschland</w:t>
            </w:r>
            <w:r w:rsidR="00F27DEC">
              <w:rPr>
                <w:rFonts w:cs="Arial"/>
              </w:rPr>
              <w:t xml:space="preserve"> im Jahr 1991 etwa 2.000 Mrd. </w:t>
            </w:r>
            <w:r w:rsidR="00912F3F">
              <w:rPr>
                <w:rFonts w:cs="Arial"/>
              </w:rPr>
              <w:t>Euro</w:t>
            </w:r>
            <w:r w:rsidRPr="00FB6703">
              <w:rPr>
                <w:rFonts w:cs="Arial"/>
              </w:rPr>
              <w:t>. Bis zum Jahr 20</w:t>
            </w:r>
            <w:r>
              <w:rPr>
                <w:rFonts w:cs="Arial"/>
              </w:rPr>
              <w:t>20</w:t>
            </w:r>
            <w:r w:rsidRPr="00FB6703">
              <w:rPr>
                <w:rFonts w:cs="Arial"/>
              </w:rPr>
              <w:t xml:space="preserve"> ist es </w:t>
            </w:r>
            <w:r w:rsidR="00F27DEC">
              <w:rPr>
                <w:rFonts w:cs="Arial"/>
              </w:rPr>
              <w:t>um fast 250 </w:t>
            </w:r>
            <w:r>
              <w:rPr>
                <w:rFonts w:cs="Arial"/>
              </w:rPr>
              <w:t xml:space="preserve">% </w:t>
            </w:r>
            <w:r w:rsidRPr="00FB6703">
              <w:rPr>
                <w:rFonts w:cs="Arial"/>
              </w:rPr>
              <w:t>auf 6.</w:t>
            </w:r>
            <w:r>
              <w:rPr>
                <w:rFonts w:cs="Arial"/>
              </w:rPr>
              <w:t>95</w:t>
            </w:r>
            <w:r w:rsidR="00F27DEC">
              <w:rPr>
                <w:rFonts w:cs="Arial"/>
              </w:rPr>
              <w:t>0 Mrd. </w:t>
            </w:r>
            <w:r w:rsidR="00912F3F">
              <w:rPr>
                <w:rFonts w:cs="Arial"/>
              </w:rPr>
              <w:t>Euro</w:t>
            </w:r>
            <w:r w:rsidRPr="00FB6703">
              <w:rPr>
                <w:rFonts w:cs="Arial"/>
              </w:rPr>
              <w:t xml:space="preserve"> gestiegen</w:t>
            </w:r>
            <w:r>
              <w:rPr>
                <w:rFonts w:cs="Arial"/>
              </w:rPr>
              <w:t>. Hinzu kommen noch Sachwerte, die nach Angaben</w:t>
            </w:r>
            <w:r w:rsidRPr="00E7358F">
              <w:rPr>
                <w:rFonts w:cs="Arial"/>
              </w:rPr>
              <w:t xml:space="preserve"> der Boston Consulting Group </w:t>
            </w:r>
            <w:r>
              <w:rPr>
                <w:rFonts w:cs="Arial"/>
              </w:rPr>
              <w:t>im</w:t>
            </w:r>
            <w:r w:rsidRPr="00E7358F">
              <w:rPr>
                <w:rFonts w:cs="Arial"/>
              </w:rPr>
              <w:t xml:space="preserve"> Jahr 2020</w:t>
            </w:r>
            <w:r>
              <w:rPr>
                <w:rFonts w:cs="Arial"/>
              </w:rPr>
              <w:t xml:space="preserve"> einen Betrag von etwa 1</w:t>
            </w:r>
            <w:r w:rsidR="00F27DEC">
              <w:rPr>
                <w:rFonts w:cs="Arial"/>
              </w:rPr>
              <w:t>3.000 </w:t>
            </w:r>
            <w:r w:rsidRPr="00E7358F">
              <w:rPr>
                <w:rFonts w:cs="Arial"/>
              </w:rPr>
              <w:t xml:space="preserve">Mrd. Dollar </w:t>
            </w:r>
            <w:r>
              <w:rPr>
                <w:rFonts w:cs="Arial"/>
              </w:rPr>
              <w:t>erreichen</w:t>
            </w:r>
            <w:r w:rsidRPr="00E7358F">
              <w:rPr>
                <w:rFonts w:cs="Arial"/>
              </w:rPr>
              <w:t>.</w:t>
            </w:r>
          </w:p>
          <w:p w14:paraId="14658F46" w14:textId="77777777" w:rsidR="00026805" w:rsidRDefault="00026805" w:rsidP="006940BF">
            <w:pPr>
              <w:rPr>
                <w:rFonts w:cs="Arial"/>
              </w:rPr>
            </w:pPr>
          </w:p>
          <w:p w14:paraId="173621CF" w14:textId="77777777" w:rsidR="00026805" w:rsidRDefault="00026805" w:rsidP="006940BF">
            <w:pPr>
              <w:rPr>
                <w:rFonts w:cs="Arial"/>
              </w:rPr>
            </w:pPr>
            <w:r>
              <w:rPr>
                <w:rFonts w:cs="Arial"/>
              </w:rPr>
              <w:t xml:space="preserve">Im gleichen Zeitraum </w:t>
            </w:r>
            <w:r w:rsidRPr="00FB6703">
              <w:rPr>
                <w:rFonts w:cs="Arial"/>
              </w:rPr>
              <w:t>(1991 bis 20</w:t>
            </w:r>
            <w:r>
              <w:rPr>
                <w:rFonts w:cs="Arial"/>
              </w:rPr>
              <w:t>20</w:t>
            </w:r>
            <w:r w:rsidRPr="00FB6703">
              <w:rPr>
                <w:rFonts w:cs="Arial"/>
              </w:rPr>
              <w:t xml:space="preserve">) </w:t>
            </w:r>
            <w:r>
              <w:rPr>
                <w:rFonts w:cs="Arial"/>
              </w:rPr>
              <w:t>ist</w:t>
            </w:r>
          </w:p>
          <w:p w14:paraId="12BBD094" w14:textId="54F5509B" w:rsidR="00026805" w:rsidRPr="003626A5" w:rsidRDefault="00026805" w:rsidP="00F175CF">
            <w:pPr>
              <w:pStyle w:val="Listenabsatz"/>
              <w:numPr>
                <w:ilvl w:val="0"/>
                <w:numId w:val="11"/>
              </w:numPr>
              <w:ind w:left="492" w:hanging="283"/>
              <w:rPr>
                <w:rFonts w:cs="Arial"/>
              </w:rPr>
            </w:pPr>
            <w:r>
              <w:rPr>
                <w:rFonts w:cs="Arial"/>
              </w:rPr>
              <w:t>d</w:t>
            </w:r>
            <w:r w:rsidRPr="003626A5">
              <w:rPr>
                <w:rFonts w:cs="Arial"/>
              </w:rPr>
              <w:t xml:space="preserve">as </w:t>
            </w:r>
            <w:r>
              <w:rPr>
                <w:rFonts w:cs="Arial"/>
              </w:rPr>
              <w:t>gesamte Bruttoinlandsprodukt</w:t>
            </w:r>
            <w:r w:rsidRPr="003626A5">
              <w:rPr>
                <w:rFonts w:cs="Arial"/>
              </w:rPr>
              <w:t xml:space="preserve"> </w:t>
            </w:r>
            <w:r>
              <w:rPr>
                <w:rFonts w:cs="Arial"/>
              </w:rPr>
              <w:t xml:space="preserve">(BIP) </w:t>
            </w:r>
            <w:r w:rsidRPr="003626A5">
              <w:rPr>
                <w:rFonts w:cs="Arial"/>
              </w:rPr>
              <w:t>in jeweiligen Preisen von 1.58</w:t>
            </w:r>
            <w:r>
              <w:rPr>
                <w:rFonts w:cs="Arial"/>
              </w:rPr>
              <w:t>6</w:t>
            </w:r>
            <w:r w:rsidR="00F27DEC">
              <w:rPr>
                <w:rFonts w:cs="Arial"/>
              </w:rPr>
              <w:t> Mrd. </w:t>
            </w:r>
            <w:r w:rsidR="00912F3F">
              <w:rPr>
                <w:rFonts w:cs="Arial"/>
              </w:rPr>
              <w:t>Euro</w:t>
            </w:r>
            <w:r w:rsidRPr="003626A5">
              <w:rPr>
                <w:rFonts w:cs="Arial"/>
              </w:rPr>
              <w:t xml:space="preserve"> auf 3.332</w:t>
            </w:r>
            <w:r>
              <w:rPr>
                <w:rFonts w:cs="Arial"/>
              </w:rPr>
              <w:t> </w:t>
            </w:r>
            <w:r w:rsidR="00F27DEC">
              <w:rPr>
                <w:rFonts w:cs="Arial"/>
              </w:rPr>
              <w:t>Mrd. </w:t>
            </w:r>
            <w:r w:rsidR="00912F3F">
              <w:rPr>
                <w:rFonts w:cs="Arial"/>
              </w:rPr>
              <w:t>Euro</w:t>
            </w:r>
            <w:r w:rsidR="00F27DEC">
              <w:rPr>
                <w:rFonts w:cs="Arial"/>
              </w:rPr>
              <w:t xml:space="preserve"> gestiegen (ca. 110 </w:t>
            </w:r>
            <w:r w:rsidRPr="003626A5">
              <w:rPr>
                <w:rFonts w:cs="Arial"/>
              </w:rPr>
              <w:t>%)</w:t>
            </w:r>
            <w:r>
              <w:rPr>
                <w:rFonts w:cs="Arial"/>
              </w:rPr>
              <w:t>,</w:t>
            </w:r>
          </w:p>
          <w:p w14:paraId="4A3D7117" w14:textId="659B4BA2" w:rsidR="00026805" w:rsidRDefault="00026805" w:rsidP="00F175CF">
            <w:pPr>
              <w:pStyle w:val="Listenabsatz"/>
              <w:numPr>
                <w:ilvl w:val="0"/>
                <w:numId w:val="11"/>
              </w:numPr>
              <w:ind w:left="492" w:hanging="283"/>
              <w:rPr>
                <w:rFonts w:cs="Arial"/>
              </w:rPr>
            </w:pPr>
            <w:r w:rsidRPr="003626A5">
              <w:rPr>
                <w:rFonts w:cs="Arial"/>
              </w:rPr>
              <w:t xml:space="preserve">das </w:t>
            </w:r>
            <w:r>
              <w:rPr>
                <w:rFonts w:cs="Arial"/>
              </w:rPr>
              <w:t>BIP</w:t>
            </w:r>
            <w:r w:rsidRPr="003626A5">
              <w:rPr>
                <w:rFonts w:cs="Arial"/>
              </w:rPr>
              <w:t xml:space="preserve"> je Einwohner i</w:t>
            </w:r>
            <w:r w:rsidR="00F27DEC">
              <w:rPr>
                <w:rFonts w:cs="Arial"/>
              </w:rPr>
              <w:t>n jeweiligen Preisen von 19.829 </w:t>
            </w:r>
            <w:r w:rsidR="00912F3F">
              <w:rPr>
                <w:rFonts w:cs="Arial"/>
              </w:rPr>
              <w:t>Euro</w:t>
            </w:r>
            <w:r w:rsidR="00F27DEC">
              <w:rPr>
                <w:rFonts w:cs="Arial"/>
              </w:rPr>
              <w:t xml:space="preserve"> auf 40.072 </w:t>
            </w:r>
            <w:r w:rsidR="00912F3F">
              <w:rPr>
                <w:rFonts w:cs="Arial"/>
              </w:rPr>
              <w:t>Euro</w:t>
            </w:r>
            <w:r w:rsidR="00F27DEC">
              <w:rPr>
                <w:rFonts w:cs="Arial"/>
              </w:rPr>
              <w:t xml:space="preserve"> gestiegen (ca. 102 </w:t>
            </w:r>
            <w:r w:rsidRPr="003626A5">
              <w:rPr>
                <w:rFonts w:cs="Arial"/>
              </w:rPr>
              <w:t>%)</w:t>
            </w:r>
            <w:r>
              <w:rPr>
                <w:rFonts w:cs="Arial"/>
              </w:rPr>
              <w:t>,</w:t>
            </w:r>
          </w:p>
          <w:p w14:paraId="32286975" w14:textId="6690FD8D" w:rsidR="00026805" w:rsidRDefault="00026805" w:rsidP="00F175CF">
            <w:pPr>
              <w:pStyle w:val="Listenabsatz"/>
              <w:numPr>
                <w:ilvl w:val="0"/>
                <w:numId w:val="11"/>
              </w:numPr>
              <w:ind w:left="492" w:hanging="283"/>
              <w:rPr>
                <w:rFonts w:cs="Arial"/>
              </w:rPr>
            </w:pPr>
            <w:r>
              <w:rPr>
                <w:rFonts w:cs="Arial"/>
              </w:rPr>
              <w:t>d</w:t>
            </w:r>
            <w:r w:rsidR="00F27DEC">
              <w:rPr>
                <w:rFonts w:cs="Arial"/>
              </w:rPr>
              <w:t>ie Inflationsrate um etwa 60 </w:t>
            </w:r>
            <w:r w:rsidRPr="003626A5">
              <w:rPr>
                <w:rFonts w:cs="Arial"/>
              </w:rPr>
              <w:t>% angestiegen</w:t>
            </w:r>
            <w:r>
              <w:rPr>
                <w:rFonts w:cs="Arial"/>
              </w:rPr>
              <w:t>.</w:t>
            </w:r>
          </w:p>
          <w:p w14:paraId="536268C5" w14:textId="77777777" w:rsidR="00026805" w:rsidRDefault="00026805" w:rsidP="006940BF">
            <w:pPr>
              <w:rPr>
                <w:rFonts w:cs="Arial"/>
              </w:rPr>
            </w:pPr>
          </w:p>
          <w:p w14:paraId="015A4169" w14:textId="364A20AA" w:rsidR="00026805" w:rsidRDefault="00026805" w:rsidP="006940BF">
            <w:pPr>
              <w:rPr>
                <w:rFonts w:eastAsia="Times New Roman" w:cs="Arial"/>
                <w:color w:val="323232"/>
                <w:lang w:eastAsia="de-DE"/>
              </w:rPr>
            </w:pPr>
            <w:r w:rsidRPr="00595400">
              <w:rPr>
                <w:rFonts w:eastAsia="Times New Roman" w:cs="Arial"/>
                <w:color w:val="323232"/>
                <w:lang w:eastAsia="de-DE"/>
              </w:rPr>
              <w:t xml:space="preserve">In den vergangenen </w:t>
            </w:r>
            <w:r>
              <w:rPr>
                <w:rFonts w:eastAsia="Times New Roman" w:cs="Arial"/>
                <w:color w:val="323232"/>
                <w:lang w:eastAsia="de-DE"/>
              </w:rPr>
              <w:t>Jahrzehnten</w:t>
            </w:r>
            <w:r w:rsidRPr="00595400">
              <w:rPr>
                <w:rFonts w:eastAsia="Times New Roman" w:cs="Arial"/>
                <w:color w:val="323232"/>
                <w:lang w:eastAsia="de-DE"/>
              </w:rPr>
              <w:t xml:space="preserve"> wurde beständig mehr und mehr G</w:t>
            </w:r>
            <w:r w:rsidR="006B515B">
              <w:rPr>
                <w:rFonts w:eastAsia="Times New Roman" w:cs="Arial"/>
                <w:color w:val="323232"/>
                <w:lang w:eastAsia="de-DE"/>
              </w:rPr>
              <w:t>iralg</w:t>
            </w:r>
            <w:r w:rsidRPr="00595400">
              <w:rPr>
                <w:rFonts w:eastAsia="Times New Roman" w:cs="Arial"/>
                <w:color w:val="323232"/>
                <w:lang w:eastAsia="de-DE"/>
              </w:rPr>
              <w:t xml:space="preserve">eld erschaffen. </w:t>
            </w:r>
            <w:r>
              <w:rPr>
                <w:rFonts w:eastAsia="Times New Roman" w:cs="Arial"/>
                <w:color w:val="323232"/>
                <w:lang w:eastAsia="de-DE"/>
              </w:rPr>
              <w:t xml:space="preserve">In Deutschland wurden dadurch aber nicht im gleichen Umfang </w:t>
            </w:r>
            <w:r w:rsidRPr="00595400">
              <w:rPr>
                <w:rFonts w:eastAsia="Times New Roman" w:cs="Arial"/>
                <w:color w:val="323232"/>
                <w:lang w:eastAsia="de-DE"/>
              </w:rPr>
              <w:t>entsprechend mehr Güter produziert</w:t>
            </w:r>
            <w:r w:rsidR="00F27DEC">
              <w:rPr>
                <w:rFonts w:eastAsia="Times New Roman" w:cs="Arial"/>
                <w:color w:val="323232"/>
                <w:lang w:eastAsia="de-DE"/>
              </w:rPr>
              <w:t xml:space="preserve"> (110 % vs. 380 </w:t>
            </w:r>
            <w:r w:rsidR="0024431A">
              <w:rPr>
                <w:rFonts w:eastAsia="Times New Roman" w:cs="Arial"/>
                <w:color w:val="323232"/>
                <w:lang w:eastAsia="de-DE"/>
              </w:rPr>
              <w:t>%)</w:t>
            </w:r>
            <w:r w:rsidRPr="00595400">
              <w:rPr>
                <w:rFonts w:eastAsia="Times New Roman" w:cs="Arial"/>
                <w:color w:val="323232"/>
                <w:lang w:eastAsia="de-DE"/>
              </w:rPr>
              <w:t xml:space="preserve">. </w:t>
            </w:r>
            <w:r>
              <w:rPr>
                <w:rFonts w:eastAsia="Times New Roman" w:cs="Arial"/>
                <w:color w:val="323232"/>
                <w:lang w:eastAsia="de-DE"/>
              </w:rPr>
              <w:t>Auch die Inflationsrate ist nur sehr viel geringer angestiegen</w:t>
            </w:r>
            <w:r w:rsidR="00F27DEC">
              <w:rPr>
                <w:rFonts w:eastAsia="Times New Roman" w:cs="Arial"/>
                <w:color w:val="323232"/>
                <w:lang w:eastAsia="de-DE"/>
              </w:rPr>
              <w:t xml:space="preserve"> (60 </w:t>
            </w:r>
            <w:r w:rsidR="0024431A">
              <w:rPr>
                <w:rFonts w:eastAsia="Times New Roman" w:cs="Arial"/>
                <w:color w:val="323232"/>
                <w:lang w:eastAsia="de-DE"/>
              </w:rPr>
              <w:t>%)</w:t>
            </w:r>
            <w:r>
              <w:rPr>
                <w:rFonts w:eastAsia="Times New Roman" w:cs="Arial"/>
                <w:color w:val="323232"/>
                <w:lang w:eastAsia="de-DE"/>
              </w:rPr>
              <w:t>. Demgegenüber ist das Geld- und Sachvermögen der privaten Haushalte wesentlich stärker gewachsen und kommt dem prozentualen Geldmengenanstieg am nächsten.</w:t>
            </w:r>
          </w:p>
          <w:p w14:paraId="54D3FAF0" w14:textId="77777777" w:rsidR="006940BF" w:rsidRDefault="006940BF" w:rsidP="006940BF">
            <w:pPr>
              <w:rPr>
                <w:rFonts w:eastAsia="Times New Roman" w:cs="Arial"/>
                <w:color w:val="323232"/>
                <w:lang w:eastAsia="de-DE"/>
              </w:rPr>
            </w:pPr>
          </w:p>
          <w:p w14:paraId="67DB2F3D" w14:textId="5A47CD7E" w:rsidR="001C2F7B" w:rsidRDefault="00026805" w:rsidP="006940BF">
            <w:pPr>
              <w:rPr>
                <w:rFonts w:cs="Arial"/>
              </w:rPr>
            </w:pPr>
            <w:r>
              <w:rPr>
                <w:rFonts w:cs="Arial"/>
              </w:rPr>
              <w:t>Im Euroraum hat sich nach der Einführung des Euro im Jahr 1999 die Geld- und Kreditschöpfung in einigen Mitgliedsländer</w:t>
            </w:r>
            <w:r w:rsidR="00F27DEC">
              <w:rPr>
                <w:rFonts w:cs="Arial"/>
              </w:rPr>
              <w:t>n</w:t>
            </w:r>
            <w:r>
              <w:rPr>
                <w:rFonts w:cs="Arial"/>
              </w:rPr>
              <w:t xml:space="preserve"> stark ausgeweitet. Die höchsten Zuwachsraten an Bankkrediten hatten Spanien und Irland.</w:t>
            </w:r>
            <w:r w:rsidR="001C2F7B">
              <w:rPr>
                <w:rFonts w:cs="Arial"/>
              </w:rPr>
              <w:t xml:space="preserve"> </w:t>
            </w:r>
            <w:r>
              <w:rPr>
                <w:rFonts w:cs="Arial"/>
              </w:rPr>
              <w:t xml:space="preserve">Das </w:t>
            </w:r>
            <w:r w:rsidR="00FC5A26">
              <w:rPr>
                <w:rFonts w:cs="Arial"/>
              </w:rPr>
              <w:t>BIP</w:t>
            </w:r>
            <w:r>
              <w:rPr>
                <w:rFonts w:cs="Arial"/>
              </w:rPr>
              <w:t xml:space="preserve"> in Spanien ist zwischen d</w:t>
            </w:r>
            <w:r w:rsidR="00F27DEC">
              <w:rPr>
                <w:rFonts w:cs="Arial"/>
              </w:rPr>
              <w:t>en Jahren 1999 und 2008 von 595 Mrd. Euro auf 1.116 Mrd. </w:t>
            </w:r>
            <w:r>
              <w:rPr>
                <w:rFonts w:cs="Arial"/>
              </w:rPr>
              <w:t>Euro angestiegen. Das untenstehende Schaubild zeigt, dass im gleichen Zeitraum das Verhältnis von B</w:t>
            </w:r>
            <w:r w:rsidR="00F27DEC">
              <w:rPr>
                <w:rFonts w:cs="Arial"/>
              </w:rPr>
              <w:t>ankkrediten zum BIP von etwa 80 % auf annähernd 180 </w:t>
            </w:r>
            <w:r>
              <w:rPr>
                <w:rFonts w:cs="Arial"/>
              </w:rPr>
              <w:t xml:space="preserve">% angestiegen ist. Daraus lässt sich errechnen, dass sich die Summe der </w:t>
            </w:r>
            <w:r w:rsidR="00F27DEC">
              <w:rPr>
                <w:rFonts w:cs="Arial"/>
              </w:rPr>
              <w:t>vergebenen Kredite von etwa 480 Mrd. </w:t>
            </w:r>
            <w:r>
              <w:rPr>
                <w:rFonts w:cs="Arial"/>
              </w:rPr>
              <w:t>Euro auf rund 2</w:t>
            </w:r>
            <w:r w:rsidR="00F27DEC">
              <w:rPr>
                <w:rFonts w:cs="Arial"/>
              </w:rPr>
              <w:t>.000 Mrd. </w:t>
            </w:r>
            <w:r>
              <w:rPr>
                <w:rFonts w:cs="Arial"/>
              </w:rPr>
              <w:t>Euro erhöht hat, also in dieser kurzen Zeitspanne vervierfacht hat. In Irland hat sich die Summe der gewährten Kredite im gleichen Zeitraum s</w:t>
            </w:r>
            <w:r w:rsidR="00F27DEC">
              <w:rPr>
                <w:rFonts w:cs="Arial"/>
              </w:rPr>
              <w:t>ogar verfünffacht.</w:t>
            </w:r>
          </w:p>
          <w:p w14:paraId="0FA34EFE" w14:textId="68024709" w:rsidR="002B7605" w:rsidRDefault="002B7605" w:rsidP="006940BF">
            <w:pPr>
              <w:rPr>
                <w:rFonts w:cs="Arial"/>
              </w:rPr>
            </w:pPr>
          </w:p>
          <w:p w14:paraId="3DBC42CA" w14:textId="3F31EAF4" w:rsidR="002B7605" w:rsidRDefault="002B7605" w:rsidP="002B7605">
            <w:pPr>
              <w:rPr>
                <w:rFonts w:cs="Arial"/>
              </w:rPr>
            </w:pPr>
          </w:p>
          <w:p w14:paraId="790F740B" w14:textId="77777777" w:rsidR="002B7605" w:rsidRDefault="002B7605" w:rsidP="002B7605">
            <w:pPr>
              <w:rPr>
                <w:rFonts w:cs="Arial"/>
              </w:rPr>
            </w:pPr>
          </w:p>
          <w:p w14:paraId="7A5B042A" w14:textId="77777777" w:rsidR="002B7605" w:rsidRPr="002B7605" w:rsidRDefault="002B7605" w:rsidP="002B7605">
            <w:pPr>
              <w:rPr>
                <w:rFonts w:cs="Arial"/>
                <w:b/>
              </w:rPr>
            </w:pPr>
            <w:r w:rsidRPr="002B7605">
              <w:rPr>
                <w:rFonts w:cs="Arial"/>
                <w:b/>
              </w:rPr>
              <w:t>Grafik „Verhältnis von Buchkredit zum BIP“</w:t>
            </w:r>
          </w:p>
          <w:p w14:paraId="6B3D66AA" w14:textId="77777777" w:rsidR="002B7605" w:rsidRDefault="002B7605" w:rsidP="002B7605">
            <w:pPr>
              <w:rPr>
                <w:rFonts w:cs="Arial"/>
              </w:rPr>
            </w:pPr>
          </w:p>
          <w:p w14:paraId="10BBB5B9" w14:textId="1B1762FE" w:rsidR="002B7605" w:rsidRDefault="002B7605" w:rsidP="002B7605">
            <w:pPr>
              <w:rPr>
                <w:rFonts w:cs="Arial"/>
              </w:rPr>
            </w:pPr>
            <w:r>
              <w:rPr>
                <w:rFonts w:cs="Arial"/>
              </w:rPr>
              <w:t xml:space="preserve">siehe </w:t>
            </w:r>
            <w:r w:rsidRPr="00F1635B">
              <w:rPr>
                <w:rFonts w:cs="Arial"/>
              </w:rPr>
              <w:t>Monatsbericht der Deutschen Bundesbank, Juli 2013, Seite 64</w:t>
            </w:r>
          </w:p>
          <w:p w14:paraId="0C37346E" w14:textId="77777777" w:rsidR="002B7605" w:rsidRDefault="002B7605" w:rsidP="002B7605">
            <w:pPr>
              <w:rPr>
                <w:rFonts w:cs="Arial"/>
              </w:rPr>
            </w:pPr>
          </w:p>
          <w:p w14:paraId="3CE3189B" w14:textId="77777777" w:rsidR="002B7605" w:rsidRDefault="004E407D" w:rsidP="002B7605">
            <w:pPr>
              <w:rPr>
                <w:rFonts w:cs="Arial"/>
              </w:rPr>
            </w:pPr>
            <w:hyperlink r:id="rId12" w:history="1">
              <w:r w:rsidR="002B7605" w:rsidRPr="00325417">
                <w:rPr>
                  <w:rStyle w:val="Hyperlink"/>
                  <w:rFonts w:cs="Arial"/>
                </w:rPr>
                <w:t>https://www.bundesbank.de/de/publikationen/berichte/monatsberichte/monatsbericht-juli-2013-663492</w:t>
              </w:r>
            </w:hyperlink>
          </w:p>
          <w:p w14:paraId="6F33D86F" w14:textId="77777777" w:rsidR="002B7605" w:rsidRDefault="002B7605" w:rsidP="002B7605">
            <w:pPr>
              <w:rPr>
                <w:rFonts w:cs="Arial"/>
              </w:rPr>
            </w:pPr>
          </w:p>
          <w:p w14:paraId="33030A45" w14:textId="77777777" w:rsidR="002B7605" w:rsidRDefault="002B7605" w:rsidP="002B7605">
            <w:r>
              <w:t>(Zugriff am 17.03.2022)</w:t>
            </w:r>
          </w:p>
          <w:p w14:paraId="3A6C1124" w14:textId="7EFA2C7A" w:rsidR="002B7605" w:rsidRDefault="002B7605" w:rsidP="006940BF">
            <w:pPr>
              <w:rPr>
                <w:rFonts w:cs="Arial"/>
              </w:rPr>
            </w:pPr>
          </w:p>
          <w:p w14:paraId="0EE5CF37" w14:textId="77777777" w:rsidR="00026805" w:rsidRDefault="00026805" w:rsidP="007C3A73">
            <w:pPr>
              <w:rPr>
                <w:rFonts w:cs="Arial"/>
              </w:rPr>
            </w:pPr>
          </w:p>
          <w:p w14:paraId="2D43D2D2" w14:textId="77777777" w:rsidR="002B7605" w:rsidRDefault="002B7605" w:rsidP="007C3A73">
            <w:pPr>
              <w:rPr>
                <w:rFonts w:cs="Arial"/>
              </w:rPr>
            </w:pPr>
          </w:p>
          <w:p w14:paraId="52D5FF50" w14:textId="24BE04A1" w:rsidR="002B7605" w:rsidRDefault="002B7605" w:rsidP="007C3A73">
            <w:pPr>
              <w:rPr>
                <w:rFonts w:cs="Arial"/>
              </w:rPr>
            </w:pPr>
          </w:p>
        </w:tc>
      </w:tr>
      <w:tr w:rsidR="005645F7" w14:paraId="5C7AD2E1" w14:textId="77777777" w:rsidTr="00D61CDA">
        <w:tc>
          <w:tcPr>
            <w:tcW w:w="9628" w:type="dxa"/>
          </w:tcPr>
          <w:p w14:paraId="5BA23339" w14:textId="7582A044" w:rsidR="005645F7" w:rsidRPr="00116F3E" w:rsidRDefault="001C2F7B" w:rsidP="006940BF">
            <w:pPr>
              <w:pStyle w:val="TextAuftrge"/>
              <w:numPr>
                <w:ilvl w:val="0"/>
                <w:numId w:val="0"/>
              </w:numPr>
              <w:spacing w:before="240" w:after="240" w:line="240" w:lineRule="auto"/>
              <w:jc w:val="center"/>
              <w:rPr>
                <w:b/>
                <w:bCs/>
              </w:rPr>
            </w:pPr>
            <w:r>
              <w:rPr>
                <w:rFonts w:cs="Arial"/>
                <w:b/>
                <w:bCs/>
              </w:rPr>
              <w:lastRenderedPageBreak/>
              <w:t>Grenzen</w:t>
            </w:r>
            <w:r w:rsidR="009A0129">
              <w:rPr>
                <w:rFonts w:cs="Arial"/>
                <w:b/>
                <w:bCs/>
              </w:rPr>
              <w:t xml:space="preserve"> </w:t>
            </w:r>
            <w:r w:rsidR="00116F3E" w:rsidRPr="00116F3E">
              <w:rPr>
                <w:rFonts w:cs="Arial"/>
                <w:b/>
                <w:bCs/>
              </w:rPr>
              <w:t xml:space="preserve">der </w:t>
            </w:r>
            <w:proofErr w:type="spellStart"/>
            <w:r w:rsidR="009A0129">
              <w:rPr>
                <w:rFonts w:cs="Arial"/>
                <w:b/>
                <w:bCs/>
              </w:rPr>
              <w:t>Giralg</w:t>
            </w:r>
            <w:r w:rsidR="00AC53B9">
              <w:rPr>
                <w:rFonts w:cs="Arial"/>
                <w:b/>
                <w:bCs/>
              </w:rPr>
              <w:t>eldschöpfung</w:t>
            </w:r>
            <w:proofErr w:type="spellEnd"/>
            <w:r>
              <w:rPr>
                <w:rFonts w:cs="Arial"/>
                <w:b/>
                <w:bCs/>
              </w:rPr>
              <w:t xml:space="preserve"> durch Kreditvergabe</w:t>
            </w:r>
          </w:p>
          <w:p w14:paraId="5270527D" w14:textId="7EB30AD0" w:rsidR="009863EC" w:rsidRDefault="005645F7" w:rsidP="007C3A73">
            <w:pPr>
              <w:rPr>
                <w:rFonts w:cs="Arial"/>
              </w:rPr>
            </w:pPr>
            <w:r>
              <w:rPr>
                <w:rFonts w:cs="Arial"/>
              </w:rPr>
              <w:t xml:space="preserve">Die </w:t>
            </w:r>
            <w:proofErr w:type="spellStart"/>
            <w:r w:rsidR="009863EC">
              <w:rPr>
                <w:rFonts w:cs="Arial"/>
              </w:rPr>
              <w:t>Giralgeldschöpfung</w:t>
            </w:r>
            <w:proofErr w:type="spellEnd"/>
            <w:r w:rsidR="009863EC">
              <w:rPr>
                <w:rFonts w:cs="Arial"/>
              </w:rPr>
              <w:t xml:space="preserve"> ist kundenseitig durch den Rückgang oder Ausfall der Kreditnachfrage begrenzt. Die </w:t>
            </w:r>
            <w:r>
              <w:rPr>
                <w:rFonts w:cs="Arial"/>
              </w:rPr>
              <w:t>Initiative</w:t>
            </w:r>
            <w:r w:rsidR="00E94ECC">
              <w:rPr>
                <w:rFonts w:cs="Arial"/>
              </w:rPr>
              <w:t xml:space="preserve"> zur Kreditvergabe geht im Regelfall von </w:t>
            </w:r>
            <w:r w:rsidR="008D2802">
              <w:rPr>
                <w:rFonts w:cs="Arial"/>
              </w:rPr>
              <w:t xml:space="preserve">der Bankkundin bzw. </w:t>
            </w:r>
            <w:r w:rsidR="00E94ECC">
              <w:rPr>
                <w:rFonts w:cs="Arial"/>
              </w:rPr>
              <w:t>dem Bankkunden aus. Unternehmen und private Haushalte mit Finanzierungsbedarf wenden sich an ihre Hausbank oder sie vergleichen die am Markt angebotenen Kreditkonditionen und entscheiden darüber, bei welchen Banken sie einen Kredit anfragen</w:t>
            </w:r>
            <w:r w:rsidR="007E0983">
              <w:rPr>
                <w:rFonts w:cs="Arial"/>
              </w:rPr>
              <w:t>. Einflussfaktoren für die H</w:t>
            </w:r>
            <w:r w:rsidR="00277644">
              <w:rPr>
                <w:rFonts w:cs="Arial"/>
              </w:rPr>
              <w:t>öhe der Kreditnachfrage sind z. </w:t>
            </w:r>
            <w:r w:rsidR="007E0983">
              <w:rPr>
                <w:rFonts w:cs="Arial"/>
              </w:rPr>
              <w:t>B. die allgemeinen wirtschaftlichen Rahmenbedingungen (Situation am Arbeitsmarkt, Wirtschaftslage, etc.), das Zinsniveau</w:t>
            </w:r>
            <w:r w:rsidR="008558A0">
              <w:rPr>
                <w:rFonts w:cs="Arial"/>
              </w:rPr>
              <w:t xml:space="preserve"> am Kreditmarkt</w:t>
            </w:r>
            <w:r w:rsidR="007E0983">
              <w:rPr>
                <w:rFonts w:cs="Arial"/>
              </w:rPr>
              <w:t xml:space="preserve"> oder die erwartete Rentabilität von Investitionen.</w:t>
            </w:r>
          </w:p>
          <w:p w14:paraId="7DA0E6CD" w14:textId="77777777" w:rsidR="009863EC" w:rsidRDefault="009863EC" w:rsidP="007C3A73">
            <w:pPr>
              <w:rPr>
                <w:rFonts w:cs="Arial"/>
              </w:rPr>
            </w:pPr>
          </w:p>
          <w:p w14:paraId="056F71D5" w14:textId="13DABE91" w:rsidR="007E0983" w:rsidRDefault="007E0983" w:rsidP="007C3A73">
            <w:pPr>
              <w:rPr>
                <w:rFonts w:cs="Arial"/>
              </w:rPr>
            </w:pPr>
            <w:r>
              <w:rPr>
                <w:rFonts w:cs="Arial"/>
              </w:rPr>
              <w:t xml:space="preserve">Aus Sicht der Banken gibt es verschiedene Gründe für eine Begrenzung </w:t>
            </w:r>
            <w:r w:rsidR="009863EC">
              <w:rPr>
                <w:rFonts w:cs="Arial"/>
              </w:rPr>
              <w:t xml:space="preserve">der </w:t>
            </w:r>
            <w:r>
              <w:rPr>
                <w:rFonts w:cs="Arial"/>
              </w:rPr>
              <w:t>Kredit</w:t>
            </w:r>
            <w:r w:rsidR="009863EC">
              <w:rPr>
                <w:rFonts w:cs="Arial"/>
              </w:rPr>
              <w:t xml:space="preserve">vergabe und damit der </w:t>
            </w:r>
            <w:proofErr w:type="spellStart"/>
            <w:r w:rsidR="009863EC">
              <w:rPr>
                <w:rFonts w:cs="Arial"/>
              </w:rPr>
              <w:t>Giralgeld</w:t>
            </w:r>
            <w:r>
              <w:rPr>
                <w:rFonts w:cs="Arial"/>
              </w:rPr>
              <w:t>schöpfung</w:t>
            </w:r>
            <w:proofErr w:type="spellEnd"/>
            <w:r>
              <w:rPr>
                <w:rFonts w:cs="Arial"/>
              </w:rPr>
              <w:t>:</w:t>
            </w:r>
          </w:p>
          <w:p w14:paraId="5C80DD3D" w14:textId="77777777" w:rsidR="00845323" w:rsidRDefault="00845323" w:rsidP="007C3A73">
            <w:pPr>
              <w:pStyle w:val="Listenabsatz"/>
              <w:ind w:left="360"/>
              <w:rPr>
                <w:rFonts w:cs="Arial"/>
              </w:rPr>
            </w:pPr>
          </w:p>
          <w:p w14:paraId="65FA198F" w14:textId="294D4366" w:rsidR="00F71380" w:rsidRDefault="007E0983" w:rsidP="007C3A73">
            <w:pPr>
              <w:pStyle w:val="Listenabsatz"/>
              <w:numPr>
                <w:ilvl w:val="0"/>
                <w:numId w:val="5"/>
              </w:numPr>
              <w:rPr>
                <w:rFonts w:cs="Arial"/>
              </w:rPr>
            </w:pPr>
            <w:r w:rsidRPr="00FD1092">
              <w:rPr>
                <w:rFonts w:cs="Arial"/>
              </w:rPr>
              <w:t>Refinanzierungsbedarf in Zentralbankguthaben: Die durch Kreditvergabe geschaffenen Einlagen können durch</w:t>
            </w:r>
            <w:r w:rsidR="00320450">
              <w:rPr>
                <w:rFonts w:cs="Arial"/>
              </w:rPr>
              <w:t xml:space="preserve"> den Zahlungsverkehr oder </w:t>
            </w:r>
            <w:r w:rsidRPr="00FD1092">
              <w:rPr>
                <w:rFonts w:cs="Arial"/>
              </w:rPr>
              <w:t xml:space="preserve">Barabhebungen jederzeit zumindest teilweise wieder abfließen. Banken </w:t>
            </w:r>
            <w:r w:rsidR="00FD1092">
              <w:rPr>
                <w:rFonts w:cs="Arial"/>
              </w:rPr>
              <w:t xml:space="preserve">müssen </w:t>
            </w:r>
            <w:r w:rsidR="00C35EE7">
              <w:rPr>
                <w:rFonts w:cs="Arial"/>
              </w:rPr>
              <w:t xml:space="preserve">dann in der Lage sein, </w:t>
            </w:r>
            <w:r w:rsidR="00FD1092">
              <w:rPr>
                <w:rFonts w:cs="Arial"/>
              </w:rPr>
              <w:t xml:space="preserve">sich </w:t>
            </w:r>
            <w:r w:rsidRPr="00FD1092">
              <w:rPr>
                <w:rFonts w:cs="Arial"/>
              </w:rPr>
              <w:t xml:space="preserve">Zentralbankguthaben </w:t>
            </w:r>
            <w:r w:rsidR="00225540">
              <w:rPr>
                <w:rFonts w:cs="Arial"/>
              </w:rPr>
              <w:t xml:space="preserve">gegebenenfalls </w:t>
            </w:r>
            <w:r w:rsidRPr="00FD1092">
              <w:rPr>
                <w:rFonts w:cs="Arial"/>
              </w:rPr>
              <w:t xml:space="preserve">über </w:t>
            </w:r>
            <w:r w:rsidR="00FD1092" w:rsidRPr="00FD1092">
              <w:rPr>
                <w:rFonts w:cs="Arial"/>
              </w:rPr>
              <w:t xml:space="preserve">die Zentralbank </w:t>
            </w:r>
            <w:r w:rsidRPr="00FD1092">
              <w:rPr>
                <w:rFonts w:cs="Arial"/>
              </w:rPr>
              <w:t xml:space="preserve">oder </w:t>
            </w:r>
            <w:r w:rsidR="00FD1092" w:rsidRPr="00FD1092">
              <w:rPr>
                <w:rFonts w:cs="Arial"/>
              </w:rPr>
              <w:t xml:space="preserve">den Interbankenmarkt </w:t>
            </w:r>
            <w:r w:rsidR="00277644">
              <w:rPr>
                <w:rFonts w:cs="Arial"/>
              </w:rPr>
              <w:t>wieder</w:t>
            </w:r>
            <w:r w:rsidRPr="00FD1092">
              <w:rPr>
                <w:rFonts w:cs="Arial"/>
              </w:rPr>
              <w:t>beschaffen</w:t>
            </w:r>
            <w:r w:rsidR="00225540">
              <w:rPr>
                <w:rFonts w:cs="Arial"/>
              </w:rPr>
              <w:t xml:space="preserve"> </w:t>
            </w:r>
            <w:r w:rsidR="00320450">
              <w:rPr>
                <w:rFonts w:cs="Arial"/>
              </w:rPr>
              <w:t xml:space="preserve">zu </w:t>
            </w:r>
            <w:r w:rsidR="00225540">
              <w:rPr>
                <w:rFonts w:cs="Arial"/>
              </w:rPr>
              <w:t>können</w:t>
            </w:r>
            <w:r w:rsidR="00320450">
              <w:rPr>
                <w:rFonts w:cs="Arial"/>
              </w:rPr>
              <w:t>.</w:t>
            </w:r>
          </w:p>
          <w:p w14:paraId="0E1BFE19" w14:textId="77777777" w:rsidR="00FD1092" w:rsidRPr="00FD1092" w:rsidRDefault="00FD1092" w:rsidP="007C3A73">
            <w:pPr>
              <w:pStyle w:val="Listenabsatz"/>
              <w:ind w:left="360"/>
              <w:rPr>
                <w:rFonts w:cs="Arial"/>
              </w:rPr>
            </w:pPr>
          </w:p>
          <w:p w14:paraId="07528DC9" w14:textId="3DC65E70" w:rsidR="008D2802" w:rsidRDefault="00204104" w:rsidP="008D2802">
            <w:pPr>
              <w:pStyle w:val="Listenabsatz"/>
              <w:numPr>
                <w:ilvl w:val="0"/>
                <w:numId w:val="5"/>
              </w:numPr>
              <w:rPr>
                <w:rFonts w:cs="Arial"/>
              </w:rPr>
            </w:pPr>
            <w:r w:rsidRPr="005F4526">
              <w:rPr>
                <w:rFonts w:cs="Arial"/>
              </w:rPr>
              <w:t xml:space="preserve">Gewinnerzielungsabsicht: </w:t>
            </w:r>
            <w:r w:rsidR="00225540" w:rsidRPr="005F4526">
              <w:rPr>
                <w:rFonts w:cs="Arial"/>
              </w:rPr>
              <w:t>B</w:t>
            </w:r>
            <w:r w:rsidRPr="005F4526">
              <w:rPr>
                <w:rFonts w:cs="Arial"/>
              </w:rPr>
              <w:t xml:space="preserve">ei der Kreditvergabe </w:t>
            </w:r>
            <w:r w:rsidR="00225540" w:rsidRPr="005F4526">
              <w:rPr>
                <w:rFonts w:cs="Arial"/>
              </w:rPr>
              <w:t>sollte aus Sicht der Geschäftsb</w:t>
            </w:r>
            <w:r w:rsidRPr="005F4526">
              <w:rPr>
                <w:rFonts w:cs="Arial"/>
              </w:rPr>
              <w:t>ank der risikobereinigte erwartete Ertrag die mit der Kreditvergabe verbundenen Kosten übertr</w:t>
            </w:r>
            <w:r w:rsidR="00225540" w:rsidRPr="005F4526">
              <w:rPr>
                <w:rFonts w:cs="Arial"/>
              </w:rPr>
              <w:t>effen</w:t>
            </w:r>
            <w:r w:rsidRPr="005F4526">
              <w:rPr>
                <w:rFonts w:cs="Arial"/>
              </w:rPr>
              <w:t xml:space="preserve">. </w:t>
            </w:r>
            <w:r w:rsidR="00225540" w:rsidRPr="005F4526">
              <w:rPr>
                <w:rFonts w:cs="Arial"/>
              </w:rPr>
              <w:t xml:space="preserve">Zu diesen Kosten zählen vor allem </w:t>
            </w:r>
            <w:r w:rsidRPr="005F4526">
              <w:rPr>
                <w:rFonts w:cs="Arial"/>
              </w:rPr>
              <w:t xml:space="preserve">Verwaltungs- und Überwachungskosten </w:t>
            </w:r>
            <w:r w:rsidR="00225540" w:rsidRPr="005F4526">
              <w:rPr>
                <w:rFonts w:cs="Arial"/>
              </w:rPr>
              <w:t>sowie</w:t>
            </w:r>
            <w:r w:rsidRPr="005F4526">
              <w:rPr>
                <w:rFonts w:cs="Arial"/>
              </w:rPr>
              <w:t xml:space="preserve"> die Ref</w:t>
            </w:r>
            <w:r w:rsidR="008D2802">
              <w:rPr>
                <w:rFonts w:cs="Arial"/>
              </w:rPr>
              <w:t>inanzierungskosten des Kredits.</w:t>
            </w:r>
          </w:p>
          <w:p w14:paraId="7E21D27D" w14:textId="77777777" w:rsidR="008D2802" w:rsidRPr="008D2802" w:rsidRDefault="008D2802" w:rsidP="008D2802">
            <w:pPr>
              <w:pStyle w:val="Listenabsatz"/>
              <w:ind w:left="360"/>
              <w:rPr>
                <w:rFonts w:cs="Arial"/>
              </w:rPr>
            </w:pPr>
          </w:p>
          <w:p w14:paraId="34E0D11D" w14:textId="601EE47F" w:rsidR="005645F7" w:rsidRDefault="00F71380" w:rsidP="007C3A73">
            <w:pPr>
              <w:pStyle w:val="Listenabsatz"/>
              <w:numPr>
                <w:ilvl w:val="0"/>
                <w:numId w:val="5"/>
              </w:numPr>
              <w:rPr>
                <w:rFonts w:cs="Arial"/>
              </w:rPr>
            </w:pPr>
            <w:r>
              <w:rPr>
                <w:rFonts w:cs="Arial"/>
              </w:rPr>
              <w:t xml:space="preserve">Regulierung des Bankensektors: Sie soll verhindern, dass Banken die aus der Kreditvergabe resultierenden Risiken nur unzureichend berücksichtigen. So sollen etwa Eigenkapitalvorschriften die Bank dazu zwingen, Kredite in Abhängigkeit von den mit ihnen verbundenen Risiken zu einem </w:t>
            </w:r>
            <w:r w:rsidR="005F4526">
              <w:rPr>
                <w:rFonts w:cs="Arial"/>
              </w:rPr>
              <w:t>vorgeschriebenen</w:t>
            </w:r>
            <w:r>
              <w:rPr>
                <w:rFonts w:cs="Arial"/>
              </w:rPr>
              <w:t xml:space="preserve"> Anteil mit Eigenkapital zu unterlegen. </w:t>
            </w:r>
            <w:r w:rsidR="005F4526">
              <w:rPr>
                <w:rFonts w:cs="Arial"/>
              </w:rPr>
              <w:t>Damit</w:t>
            </w:r>
            <w:r>
              <w:rPr>
                <w:rFonts w:cs="Arial"/>
              </w:rPr>
              <w:t xml:space="preserve"> ist die Ausweitung der Kreditvergabe an das vorhandene bzw. beschaffbare Eigenkapital gebunden.</w:t>
            </w:r>
          </w:p>
          <w:p w14:paraId="1C30C796" w14:textId="77777777" w:rsidR="008D2802" w:rsidRDefault="008D2802" w:rsidP="008D2802">
            <w:pPr>
              <w:pStyle w:val="Listenabsatz"/>
              <w:ind w:left="360"/>
              <w:rPr>
                <w:rFonts w:cs="Arial"/>
              </w:rPr>
            </w:pPr>
          </w:p>
          <w:p w14:paraId="24668EEF" w14:textId="1ACAE7C8" w:rsidR="00D764ED" w:rsidRDefault="00D764ED" w:rsidP="007C3A73">
            <w:pPr>
              <w:rPr>
                <w:rFonts w:cs="Arial"/>
              </w:rPr>
            </w:pPr>
            <w:r>
              <w:rPr>
                <w:rFonts w:cs="Arial"/>
              </w:rPr>
              <w:t>Auch die Zentralbank kann mit ihrer Geldpolitik Einfluss auf die Geld- und Kreditschöpfung der Geschäftsbanken nehmen, denn sie beeinflusst durch ihre Leitzins</w:t>
            </w:r>
            <w:r w:rsidR="008558A0">
              <w:rPr>
                <w:rFonts w:cs="Arial"/>
              </w:rPr>
              <w:t>sätze</w:t>
            </w:r>
            <w:r>
              <w:rPr>
                <w:rFonts w:cs="Arial"/>
              </w:rPr>
              <w:t xml:space="preserve"> </w:t>
            </w:r>
            <w:r w:rsidR="007A3A5D">
              <w:rPr>
                <w:rFonts w:cs="Arial"/>
              </w:rPr>
              <w:t xml:space="preserve">bei der </w:t>
            </w:r>
            <w:r w:rsidR="00F43952">
              <w:rPr>
                <w:rFonts w:cs="Arial"/>
              </w:rPr>
              <w:t xml:space="preserve">Kreditvergabe </w:t>
            </w:r>
            <w:r w:rsidR="007A3A5D">
              <w:rPr>
                <w:rFonts w:cs="Arial"/>
              </w:rPr>
              <w:t xml:space="preserve">an die Geschäftsbanken </w:t>
            </w:r>
            <w:r>
              <w:rPr>
                <w:rFonts w:cs="Arial"/>
              </w:rPr>
              <w:t xml:space="preserve">das </w:t>
            </w:r>
            <w:r w:rsidR="008558A0">
              <w:rPr>
                <w:rFonts w:cs="Arial"/>
              </w:rPr>
              <w:t>Marktz</w:t>
            </w:r>
            <w:r>
              <w:rPr>
                <w:rFonts w:cs="Arial"/>
              </w:rPr>
              <w:t xml:space="preserve">insniveau. So kann </w:t>
            </w:r>
            <w:r w:rsidR="00F43952">
              <w:rPr>
                <w:rFonts w:cs="Arial"/>
              </w:rPr>
              <w:t xml:space="preserve">beispielsweise </w:t>
            </w:r>
            <w:r>
              <w:rPr>
                <w:rFonts w:cs="Arial"/>
              </w:rPr>
              <w:t>eine Erhöhung de</w:t>
            </w:r>
            <w:r w:rsidR="00C35EE7">
              <w:rPr>
                <w:rFonts w:cs="Arial"/>
              </w:rPr>
              <w:t>r</w:t>
            </w:r>
            <w:r>
              <w:rPr>
                <w:rFonts w:cs="Arial"/>
              </w:rPr>
              <w:t xml:space="preserve"> Leitzins</w:t>
            </w:r>
            <w:r w:rsidR="007A3A5D">
              <w:rPr>
                <w:rFonts w:cs="Arial"/>
              </w:rPr>
              <w:t>sätze</w:t>
            </w:r>
            <w:r>
              <w:rPr>
                <w:rFonts w:cs="Arial"/>
              </w:rPr>
              <w:t xml:space="preserve"> zu einer Erhöhung der Kreditzinssätze im Kundengeschäft führen, die sich ihrerseits dämpfend auf die Kreditnachfrage </w:t>
            </w:r>
            <w:r w:rsidR="005410A1">
              <w:rPr>
                <w:rFonts w:cs="Arial"/>
              </w:rPr>
              <w:t>der Nichtbanken</w:t>
            </w:r>
            <w:r>
              <w:rPr>
                <w:rFonts w:cs="Arial"/>
              </w:rPr>
              <w:t xml:space="preserve"> auswirkt</w:t>
            </w:r>
            <w:r w:rsidR="005F4526">
              <w:rPr>
                <w:rFonts w:cs="Arial"/>
              </w:rPr>
              <w:t>.</w:t>
            </w:r>
          </w:p>
          <w:p w14:paraId="1966D204" w14:textId="1893B414" w:rsidR="00D764ED" w:rsidRDefault="00D764ED" w:rsidP="007C3A73">
            <w:pPr>
              <w:rPr>
                <w:rFonts w:cs="Arial"/>
              </w:rPr>
            </w:pPr>
          </w:p>
          <w:p w14:paraId="22A4771E" w14:textId="0CFD4A14" w:rsidR="005E4EE5" w:rsidRDefault="00B33A5B" w:rsidP="007C3A73">
            <w:pPr>
              <w:rPr>
                <w:rFonts w:cs="Arial"/>
              </w:rPr>
            </w:pPr>
            <w:r>
              <w:rPr>
                <w:rFonts w:cs="Arial"/>
              </w:rPr>
              <w:t xml:space="preserve">Die Europäische Zentralbank </w:t>
            </w:r>
            <w:r w:rsidR="006F410B">
              <w:rPr>
                <w:rFonts w:cs="Arial"/>
              </w:rPr>
              <w:t xml:space="preserve">nimmt aber seit längerer Zeit keinen </w:t>
            </w:r>
            <w:r w:rsidR="00200BAD">
              <w:rPr>
                <w:rFonts w:cs="Arial"/>
              </w:rPr>
              <w:t xml:space="preserve">begrenzenden </w:t>
            </w:r>
            <w:r w:rsidR="006F410B">
              <w:rPr>
                <w:rFonts w:cs="Arial"/>
              </w:rPr>
              <w:t xml:space="preserve">Einfluss </w:t>
            </w:r>
            <w:r>
              <w:rPr>
                <w:rFonts w:cs="Arial"/>
              </w:rPr>
              <w:t xml:space="preserve">auf die </w:t>
            </w:r>
            <w:r w:rsidR="00C16AE8">
              <w:rPr>
                <w:rFonts w:cs="Arial"/>
              </w:rPr>
              <w:t>Buch</w:t>
            </w:r>
            <w:r>
              <w:rPr>
                <w:rFonts w:cs="Arial"/>
              </w:rPr>
              <w:t xml:space="preserve">geldschöpfung der Geschäftsbanken </w:t>
            </w:r>
            <w:r w:rsidR="006F410B">
              <w:rPr>
                <w:rFonts w:cs="Arial"/>
              </w:rPr>
              <w:t>durch eine entsprechende Gestaltung</w:t>
            </w:r>
            <w:r>
              <w:rPr>
                <w:rFonts w:cs="Arial"/>
              </w:rPr>
              <w:t xml:space="preserve"> ihrer Zinspolitik. Die Leitzinssätze wurden in den vergangenen Jahren </w:t>
            </w:r>
            <w:r w:rsidR="00F43952">
              <w:rPr>
                <w:rFonts w:cs="Arial"/>
              </w:rPr>
              <w:t>nur selten</w:t>
            </w:r>
            <w:r>
              <w:rPr>
                <w:rFonts w:cs="Arial"/>
              </w:rPr>
              <w:t xml:space="preserve"> verändert. So liegt der ehemalige Leitzins (Hauptrefinanzierungsg</w:t>
            </w:r>
            <w:r w:rsidR="00277644">
              <w:rPr>
                <w:rFonts w:cs="Arial"/>
              </w:rPr>
              <w:t>eschäft) seit März 2016 bei 0,0 </w:t>
            </w:r>
            <w:r w:rsidR="006E17C1">
              <w:rPr>
                <w:rFonts w:cs="Arial"/>
              </w:rPr>
              <w:t>%</w:t>
            </w:r>
            <w:r>
              <w:rPr>
                <w:rFonts w:cs="Arial"/>
              </w:rPr>
              <w:t xml:space="preserve"> und der neue Leitzins (Einlagenfazilität) se</w:t>
            </w:r>
            <w:r w:rsidR="00277644">
              <w:rPr>
                <w:rFonts w:cs="Arial"/>
              </w:rPr>
              <w:t>it September 2019 bei minus 0,5 </w:t>
            </w:r>
            <w:r w:rsidR="006E17C1">
              <w:rPr>
                <w:rFonts w:cs="Arial"/>
              </w:rPr>
              <w:t>%</w:t>
            </w:r>
            <w:r>
              <w:rPr>
                <w:rFonts w:cs="Arial"/>
              </w:rPr>
              <w:t>.</w:t>
            </w:r>
          </w:p>
          <w:p w14:paraId="36402E6F" w14:textId="574225F3" w:rsidR="006F410B" w:rsidRDefault="006F410B" w:rsidP="007C3A73">
            <w:pPr>
              <w:rPr>
                <w:rFonts w:cs="Arial"/>
              </w:rPr>
            </w:pPr>
          </w:p>
          <w:p w14:paraId="51B44BF9" w14:textId="59902784" w:rsidR="00B11FB5" w:rsidRDefault="00200BAD" w:rsidP="007C3A73">
            <w:pPr>
              <w:rPr>
                <w:rFonts w:cs="Arial"/>
              </w:rPr>
            </w:pPr>
            <w:r>
              <w:rPr>
                <w:rFonts w:cs="Arial"/>
              </w:rPr>
              <w:t xml:space="preserve">Stattdessen hat die EZB seit dem Jahr 2011 mit ihrer Geldpolitik die Ausweitung der </w:t>
            </w:r>
            <w:proofErr w:type="spellStart"/>
            <w:r>
              <w:rPr>
                <w:rFonts w:cs="Arial"/>
              </w:rPr>
              <w:t>Giralgeldschöpfung</w:t>
            </w:r>
            <w:proofErr w:type="spellEnd"/>
            <w:r>
              <w:rPr>
                <w:rFonts w:cs="Arial"/>
              </w:rPr>
              <w:t xml:space="preserve"> durch das Angebot </w:t>
            </w:r>
            <w:r w:rsidR="00501A3B">
              <w:rPr>
                <w:rFonts w:cs="Arial"/>
              </w:rPr>
              <w:t xml:space="preserve">von längerfristigen (mehrjährigen) Refinanzierungsgeschäften </w:t>
            </w:r>
            <w:r w:rsidR="00F43952">
              <w:rPr>
                <w:rFonts w:cs="Arial"/>
              </w:rPr>
              <w:t xml:space="preserve">mit den Bezeichnungen </w:t>
            </w:r>
            <w:r w:rsidR="00501A3B">
              <w:rPr>
                <w:rFonts w:cs="Arial"/>
              </w:rPr>
              <w:t>LTRO, TLTRO</w:t>
            </w:r>
            <w:r w:rsidR="00F43952">
              <w:rPr>
                <w:rFonts w:cs="Arial"/>
              </w:rPr>
              <w:t xml:space="preserve"> und </w:t>
            </w:r>
            <w:r w:rsidR="00501A3B">
              <w:rPr>
                <w:rFonts w:cs="Arial"/>
              </w:rPr>
              <w:t xml:space="preserve">PELTRO deutlich </w:t>
            </w:r>
            <w:r w:rsidR="001300B3">
              <w:rPr>
                <w:rFonts w:cs="Arial"/>
              </w:rPr>
              <w:t>unterstütz</w:t>
            </w:r>
            <w:r w:rsidR="00501A3B">
              <w:rPr>
                <w:rFonts w:cs="Arial"/>
              </w:rPr>
              <w:t xml:space="preserve">t. </w:t>
            </w:r>
          </w:p>
          <w:p w14:paraId="28BD026A" w14:textId="77777777" w:rsidR="00B11FB5" w:rsidRDefault="00B11FB5" w:rsidP="007C3A73">
            <w:pPr>
              <w:rPr>
                <w:rFonts w:cs="Arial"/>
              </w:rPr>
            </w:pPr>
          </w:p>
          <w:p w14:paraId="11D2BBC9" w14:textId="3F7B0B8C" w:rsidR="00FB5E9F" w:rsidRDefault="00501A3B" w:rsidP="007C3A73">
            <w:pPr>
              <w:rPr>
                <w:rFonts w:cs="Arial"/>
              </w:rPr>
            </w:pPr>
            <w:r>
              <w:rPr>
                <w:rFonts w:cs="Arial"/>
              </w:rPr>
              <w:t xml:space="preserve">So </w:t>
            </w:r>
            <w:r w:rsidR="00272BB6">
              <w:rPr>
                <w:rFonts w:cs="Arial"/>
              </w:rPr>
              <w:t>bietet</w:t>
            </w:r>
            <w:r>
              <w:rPr>
                <w:rFonts w:cs="Arial"/>
              </w:rPr>
              <w:t xml:space="preserve"> beispielsweise das aktuelle TLTRO-III-Programm, das im März 2019 aufgelegt wurde und bis September 2021 bereits </w:t>
            </w:r>
            <w:r w:rsidR="00B11FB5">
              <w:rPr>
                <w:rFonts w:cs="Arial"/>
              </w:rPr>
              <w:t>in einem</w:t>
            </w:r>
            <w:r>
              <w:rPr>
                <w:rFonts w:cs="Arial"/>
              </w:rPr>
              <w:t xml:space="preserve"> </w:t>
            </w:r>
            <w:r w:rsidR="00B11FB5">
              <w:rPr>
                <w:rFonts w:cs="Arial"/>
              </w:rPr>
              <w:t>Gesamtv</w:t>
            </w:r>
            <w:r w:rsidR="006E17C1">
              <w:rPr>
                <w:rFonts w:cs="Arial"/>
              </w:rPr>
              <w:t>olumen von 2.287 Mrd. </w:t>
            </w:r>
            <w:r>
              <w:rPr>
                <w:rFonts w:cs="Arial"/>
              </w:rPr>
              <w:t xml:space="preserve">Euro </w:t>
            </w:r>
            <w:r w:rsidR="00B11FB5">
              <w:rPr>
                <w:rFonts w:cs="Arial"/>
              </w:rPr>
              <w:t>genutzt wurde</w:t>
            </w:r>
            <w:r>
              <w:rPr>
                <w:rFonts w:cs="Arial"/>
              </w:rPr>
              <w:t xml:space="preserve">, </w:t>
            </w:r>
            <w:r w:rsidR="00272BB6">
              <w:rPr>
                <w:rFonts w:cs="Arial"/>
              </w:rPr>
              <w:t xml:space="preserve">den Banken der Eurozone </w:t>
            </w:r>
            <w:r>
              <w:rPr>
                <w:rFonts w:cs="Arial"/>
              </w:rPr>
              <w:t>seit dem 24</w:t>
            </w:r>
            <w:r w:rsidR="00272BB6">
              <w:rPr>
                <w:rFonts w:cs="Arial"/>
              </w:rPr>
              <w:t>.06.2020 einen dreijährigen Refinanzierungskre</w:t>
            </w:r>
            <w:r w:rsidR="006E17C1">
              <w:rPr>
                <w:rFonts w:cs="Arial"/>
              </w:rPr>
              <w:t xml:space="preserve">dit zu einem Zinssatz von - </w:t>
            </w:r>
            <w:r w:rsidR="00272BB6">
              <w:rPr>
                <w:rFonts w:cs="Arial"/>
              </w:rPr>
              <w:t>1</w:t>
            </w:r>
            <w:r w:rsidR="006E17C1">
              <w:rPr>
                <w:rFonts w:cs="Arial"/>
              </w:rPr>
              <w:t> %</w:t>
            </w:r>
            <w:r w:rsidR="00272BB6">
              <w:rPr>
                <w:rFonts w:cs="Arial"/>
              </w:rPr>
              <w:t>.</w:t>
            </w:r>
            <w:r w:rsidR="00B11FB5">
              <w:rPr>
                <w:rFonts w:cs="Arial"/>
              </w:rPr>
              <w:t xml:space="preserve"> Die Banken dürfen </w:t>
            </w:r>
            <w:r w:rsidR="001300B3">
              <w:rPr>
                <w:rFonts w:cs="Arial"/>
              </w:rPr>
              <w:t xml:space="preserve">hierbei </w:t>
            </w:r>
            <w:r w:rsidR="00B11FB5">
              <w:rPr>
                <w:rFonts w:cs="Arial"/>
              </w:rPr>
              <w:t>TLTRO-III</w:t>
            </w:r>
            <w:r w:rsidR="006E17C1">
              <w:rPr>
                <w:rFonts w:cs="Arial"/>
              </w:rPr>
              <w:t>-Gelder im Umfang von 55 %</w:t>
            </w:r>
            <w:r w:rsidR="00B11FB5">
              <w:rPr>
                <w:rFonts w:cs="Arial"/>
              </w:rPr>
              <w:t xml:space="preserve"> der anrechenbaren Kredite au</w:t>
            </w:r>
            <w:r w:rsidR="006E17C1">
              <w:rPr>
                <w:rFonts w:cs="Arial"/>
              </w:rPr>
              <w:t xml:space="preserve">fnehmen. So könnte die </w:t>
            </w:r>
            <w:proofErr w:type="spellStart"/>
            <w:r w:rsidR="006E17C1">
              <w:rPr>
                <w:rFonts w:cs="Arial"/>
              </w:rPr>
              <w:t>Sparbank</w:t>
            </w:r>
            <w:proofErr w:type="spellEnd"/>
            <w:r w:rsidR="006E17C1">
              <w:rPr>
                <w:rFonts w:cs="Arial"/>
              </w:rPr>
              <w:t> </w:t>
            </w:r>
            <w:r w:rsidR="00B11FB5">
              <w:rPr>
                <w:rFonts w:cs="Arial"/>
              </w:rPr>
              <w:t xml:space="preserve">AG beispielsweise bei </w:t>
            </w:r>
            <w:r w:rsidR="001300B3">
              <w:rPr>
                <w:rFonts w:cs="Arial"/>
              </w:rPr>
              <w:t>d</w:t>
            </w:r>
            <w:r w:rsidR="00B11FB5">
              <w:rPr>
                <w:rFonts w:cs="Arial"/>
              </w:rPr>
              <w:t>er Vergabe eines anrechenbaren</w:t>
            </w:r>
            <w:r w:rsidR="006E17C1">
              <w:rPr>
                <w:rFonts w:cs="Arial"/>
              </w:rPr>
              <w:t xml:space="preserve"> Kredites in Höhe von 1.000.000 </w:t>
            </w:r>
            <w:r w:rsidR="00B11FB5">
              <w:rPr>
                <w:rFonts w:cs="Arial"/>
              </w:rPr>
              <w:t xml:space="preserve">Euro einen Refinanzierungskredit </w:t>
            </w:r>
            <w:r w:rsidR="006E17C1">
              <w:rPr>
                <w:rFonts w:cs="Arial"/>
              </w:rPr>
              <w:t>bei der EZB in Höhe von 550.000 Euro zum Zinssatz von - 1 %</w:t>
            </w:r>
            <w:r w:rsidR="001300B3">
              <w:rPr>
                <w:rFonts w:cs="Arial"/>
              </w:rPr>
              <w:t xml:space="preserve"> in Anspruch nehmen. Diesen </w:t>
            </w:r>
            <w:r w:rsidR="009D3E3B">
              <w:rPr>
                <w:rFonts w:cs="Arial"/>
              </w:rPr>
              <w:t>K</w:t>
            </w:r>
            <w:r w:rsidR="001300B3">
              <w:rPr>
                <w:rFonts w:cs="Arial"/>
              </w:rPr>
              <w:t>redit</w:t>
            </w:r>
            <w:r w:rsidR="009D3E3B">
              <w:rPr>
                <w:rFonts w:cs="Arial"/>
              </w:rPr>
              <w:t>betrag</w:t>
            </w:r>
            <w:r w:rsidR="006E17C1">
              <w:rPr>
                <w:rFonts w:cs="Arial"/>
              </w:rPr>
              <w:t xml:space="preserve"> könnte die </w:t>
            </w:r>
            <w:proofErr w:type="spellStart"/>
            <w:r w:rsidR="006E17C1">
              <w:rPr>
                <w:rFonts w:cs="Arial"/>
              </w:rPr>
              <w:t>Sparbank</w:t>
            </w:r>
            <w:proofErr w:type="spellEnd"/>
            <w:r w:rsidR="006E17C1">
              <w:rPr>
                <w:rFonts w:cs="Arial"/>
              </w:rPr>
              <w:t> </w:t>
            </w:r>
            <w:r w:rsidR="001300B3">
              <w:rPr>
                <w:rFonts w:cs="Arial"/>
              </w:rPr>
              <w:t>AG mangels einer lukrativeren Verwendung als Einlagenfazilität bei der</w:t>
            </w:r>
            <w:r w:rsidR="006E17C1">
              <w:rPr>
                <w:rFonts w:cs="Arial"/>
              </w:rPr>
              <w:t xml:space="preserve"> EZB zum Zinssatz von - 0,5 %</w:t>
            </w:r>
            <w:r w:rsidR="001300B3">
              <w:rPr>
                <w:rFonts w:cs="Arial"/>
              </w:rPr>
              <w:t xml:space="preserve"> wieder anlegen und einen </w:t>
            </w:r>
            <w:r w:rsidR="006E17C1">
              <w:rPr>
                <w:rFonts w:cs="Arial"/>
              </w:rPr>
              <w:t>sicheren Gewinn in Höhe von 0,5 %</w:t>
            </w:r>
            <w:r w:rsidR="001300B3">
              <w:rPr>
                <w:rFonts w:cs="Arial"/>
              </w:rPr>
              <w:t xml:space="preserve"> des Anlagebetrages erzielen.</w:t>
            </w:r>
          </w:p>
        </w:tc>
      </w:tr>
      <w:tr w:rsidR="00963A37" w14:paraId="31D1BB0E" w14:textId="77777777" w:rsidTr="00D61CDA">
        <w:tc>
          <w:tcPr>
            <w:tcW w:w="9628" w:type="dxa"/>
          </w:tcPr>
          <w:p w14:paraId="6584C866" w14:textId="1FD4440C" w:rsidR="00963A37" w:rsidRDefault="00963A37" w:rsidP="006940BF">
            <w:pPr>
              <w:spacing w:before="240" w:after="240"/>
              <w:jc w:val="center"/>
              <w:rPr>
                <w:rFonts w:cs="Arial"/>
                <w:b/>
                <w:bCs/>
              </w:rPr>
            </w:pPr>
            <w:r>
              <w:rPr>
                <w:rFonts w:cs="Arial"/>
                <w:b/>
                <w:bCs/>
              </w:rPr>
              <w:lastRenderedPageBreak/>
              <w:t xml:space="preserve">Geldschöpfung der </w:t>
            </w:r>
            <w:r w:rsidR="009A0129">
              <w:rPr>
                <w:rFonts w:cs="Arial"/>
                <w:b/>
                <w:bCs/>
              </w:rPr>
              <w:t xml:space="preserve">Europäischen </w:t>
            </w:r>
            <w:r w:rsidR="00F0551D">
              <w:rPr>
                <w:rFonts w:cs="Arial"/>
                <w:b/>
                <w:bCs/>
              </w:rPr>
              <w:t>Zentralbank</w:t>
            </w:r>
          </w:p>
          <w:p w14:paraId="7279EE45" w14:textId="2958C0EF" w:rsidR="00963A37" w:rsidRDefault="007667C5" w:rsidP="007C3A73">
            <w:pPr>
              <w:rPr>
                <w:rFonts w:cs="Arial"/>
              </w:rPr>
            </w:pPr>
            <w:r>
              <w:rPr>
                <w:rFonts w:cs="Arial"/>
              </w:rPr>
              <w:t xml:space="preserve">Die Deutsche Bundesbank ist für die Umsetzung der europäischen Geldpolitik in Deutschland zuständig. </w:t>
            </w:r>
            <w:r w:rsidR="0057349D">
              <w:rPr>
                <w:rFonts w:cs="Arial"/>
              </w:rPr>
              <w:t>Zu ihren gesetzlich festgelegten Aufgaben gehört auch die bankmäßige Abwicklung des Zahlungsverkehrs im Inland und mit dem Ausland</w:t>
            </w:r>
            <w:r w:rsidR="008D0444">
              <w:rPr>
                <w:rFonts w:cs="Arial"/>
              </w:rPr>
              <w:t>.</w:t>
            </w:r>
            <w:r w:rsidR="0057349D">
              <w:rPr>
                <w:rFonts w:cs="Arial"/>
              </w:rPr>
              <w:t xml:space="preserve"> </w:t>
            </w:r>
            <w:r w:rsidR="008D0444">
              <w:rPr>
                <w:rFonts w:cs="Arial"/>
              </w:rPr>
              <w:t>Die Bundesbank</w:t>
            </w:r>
            <w:r>
              <w:rPr>
                <w:rFonts w:cs="Arial"/>
              </w:rPr>
              <w:t xml:space="preserve"> versorgt die Geschäftsbanken mit Zentralbankgeld</w:t>
            </w:r>
            <w:r w:rsidR="00065FD7">
              <w:rPr>
                <w:rFonts w:cs="Arial"/>
              </w:rPr>
              <w:t xml:space="preserve">. Mit ihrem </w:t>
            </w:r>
            <w:r w:rsidR="008D0444">
              <w:rPr>
                <w:rFonts w:cs="Arial"/>
              </w:rPr>
              <w:t>Bundesbank</w:t>
            </w:r>
            <w:r w:rsidR="00065FD7">
              <w:rPr>
                <w:rFonts w:cs="Arial"/>
              </w:rPr>
              <w:t xml:space="preserve">guthaben sind die </w:t>
            </w:r>
            <w:r w:rsidR="008D0444">
              <w:rPr>
                <w:rFonts w:cs="Arial"/>
              </w:rPr>
              <w:t>Geschäftsb</w:t>
            </w:r>
            <w:r w:rsidR="00065FD7">
              <w:rPr>
                <w:rFonts w:cs="Arial"/>
              </w:rPr>
              <w:t xml:space="preserve">anken in der Lage, ihre Mindestreservepflicht zu erfüllen und </w:t>
            </w:r>
            <w:r w:rsidR="008D0444">
              <w:rPr>
                <w:rFonts w:cs="Arial"/>
              </w:rPr>
              <w:t>die</w:t>
            </w:r>
            <w:r w:rsidR="00065FD7">
              <w:rPr>
                <w:rFonts w:cs="Arial"/>
              </w:rPr>
              <w:t xml:space="preserve"> Zahlungsverkehr</w:t>
            </w:r>
            <w:r w:rsidR="008D0444">
              <w:rPr>
                <w:rFonts w:cs="Arial"/>
              </w:rPr>
              <w:t>sangebote der Bundesbank</w:t>
            </w:r>
            <w:r w:rsidR="00065FD7">
              <w:rPr>
                <w:rFonts w:cs="Arial"/>
              </w:rPr>
              <w:t xml:space="preserve"> </w:t>
            </w:r>
            <w:r w:rsidR="008D0444">
              <w:rPr>
                <w:rFonts w:cs="Arial"/>
              </w:rPr>
              <w:t>zu nutzen</w:t>
            </w:r>
            <w:r w:rsidR="00065FD7">
              <w:rPr>
                <w:rFonts w:cs="Arial"/>
              </w:rPr>
              <w:t xml:space="preserve">. </w:t>
            </w:r>
            <w:r w:rsidR="008D0444">
              <w:rPr>
                <w:rFonts w:cs="Arial"/>
              </w:rPr>
              <w:t>Sie</w:t>
            </w:r>
            <w:r w:rsidR="00065FD7">
              <w:rPr>
                <w:rFonts w:cs="Arial"/>
              </w:rPr>
              <w:t xml:space="preserve"> können </w:t>
            </w:r>
            <w:r w:rsidR="008D0444">
              <w:rPr>
                <w:rFonts w:cs="Arial"/>
              </w:rPr>
              <w:t xml:space="preserve">ihr </w:t>
            </w:r>
            <w:r w:rsidR="00065FD7">
              <w:rPr>
                <w:rFonts w:cs="Arial"/>
              </w:rPr>
              <w:t xml:space="preserve">Zentralbankguthaben auch jederzeit in Bargeld umtauschen, um die Auszahlungswünsche ihrer </w:t>
            </w:r>
            <w:r w:rsidR="001471E2">
              <w:rPr>
                <w:rFonts w:cs="Arial"/>
              </w:rPr>
              <w:t>Kundinnen und Kunden erfüllen zu können.</w:t>
            </w:r>
          </w:p>
          <w:p w14:paraId="32A916F4" w14:textId="1BE25A05" w:rsidR="00065FD7" w:rsidRDefault="00065FD7" w:rsidP="007C3A73">
            <w:pPr>
              <w:rPr>
                <w:rFonts w:cs="Arial"/>
              </w:rPr>
            </w:pPr>
          </w:p>
          <w:p w14:paraId="63CEC7D8" w14:textId="491A3147" w:rsidR="00D01215" w:rsidRDefault="00065FD7" w:rsidP="007C3A73">
            <w:pPr>
              <w:rPr>
                <w:rFonts w:cs="Arial"/>
              </w:rPr>
            </w:pPr>
            <w:r>
              <w:rPr>
                <w:rFonts w:cs="Arial"/>
              </w:rPr>
              <w:t xml:space="preserve">Die </w:t>
            </w:r>
            <w:r w:rsidR="009D3E3B">
              <w:rPr>
                <w:rFonts w:cs="Arial"/>
              </w:rPr>
              <w:t>G</w:t>
            </w:r>
            <w:r>
              <w:rPr>
                <w:rFonts w:cs="Arial"/>
              </w:rPr>
              <w:t xml:space="preserve">eldschöpfung </w:t>
            </w:r>
            <w:r w:rsidR="009D3E3B">
              <w:rPr>
                <w:rFonts w:cs="Arial"/>
              </w:rPr>
              <w:t>der Europäischen Zentralbank</w:t>
            </w:r>
            <w:r w:rsidR="001B780A">
              <w:rPr>
                <w:rFonts w:cs="Arial"/>
              </w:rPr>
              <w:t xml:space="preserve"> </w:t>
            </w:r>
            <w:r w:rsidR="008D1D98">
              <w:rPr>
                <w:rFonts w:cs="Arial"/>
              </w:rPr>
              <w:t xml:space="preserve">und der nationalen Zentralbanken </w:t>
            </w:r>
            <w:r w:rsidR="001B780A">
              <w:rPr>
                <w:rFonts w:cs="Arial"/>
              </w:rPr>
              <w:t xml:space="preserve">im Eurosystem </w:t>
            </w:r>
            <w:r>
              <w:rPr>
                <w:rFonts w:cs="Arial"/>
              </w:rPr>
              <w:t xml:space="preserve">erfolgt nach dem gleichen Prinzip wie die </w:t>
            </w:r>
            <w:proofErr w:type="spellStart"/>
            <w:r>
              <w:rPr>
                <w:rFonts w:cs="Arial"/>
              </w:rPr>
              <w:t>Giralgeldschöpfung</w:t>
            </w:r>
            <w:proofErr w:type="spellEnd"/>
            <w:r>
              <w:rPr>
                <w:rFonts w:cs="Arial"/>
              </w:rPr>
              <w:t xml:space="preserve"> der Geschäftsbanken</w:t>
            </w:r>
            <w:r w:rsidR="00D01215">
              <w:rPr>
                <w:rFonts w:cs="Arial"/>
              </w:rPr>
              <w:t>:</w:t>
            </w:r>
          </w:p>
          <w:p w14:paraId="35605A8F" w14:textId="77777777" w:rsidR="00AD60AA" w:rsidRPr="00AD60AA" w:rsidRDefault="00AD60AA" w:rsidP="007C3A73">
            <w:pPr>
              <w:rPr>
                <w:rFonts w:cs="Arial"/>
              </w:rPr>
            </w:pPr>
          </w:p>
          <w:p w14:paraId="6A92155E" w14:textId="3C5B5864" w:rsidR="00D01215" w:rsidRDefault="00065FD7" w:rsidP="007C3A73">
            <w:pPr>
              <w:pStyle w:val="Listenabsatz"/>
              <w:numPr>
                <w:ilvl w:val="0"/>
                <w:numId w:val="16"/>
              </w:numPr>
              <w:rPr>
                <w:rFonts w:cs="Arial"/>
              </w:rPr>
            </w:pPr>
            <w:r w:rsidRPr="00AD60AA">
              <w:rPr>
                <w:rFonts w:cs="Arial"/>
              </w:rPr>
              <w:t xml:space="preserve">Neues Zentralbankgeld entsteht, indem die Zentralbank einer Geschäftsbank, die einen Bedarf an Zentralbankgeld hat, einen Kredit gewährt. Die Kreditvergabe erfolgt, sofern die Voraussetzungen dafür erfüllt sind. Dazu ist vor allem erforderlich, dass die Bank den Kredit durch </w:t>
            </w:r>
            <w:r w:rsidR="008D0444" w:rsidRPr="00AD60AA">
              <w:rPr>
                <w:rFonts w:cs="Arial"/>
              </w:rPr>
              <w:t xml:space="preserve">die </w:t>
            </w:r>
            <w:r w:rsidRPr="00AD60AA">
              <w:rPr>
                <w:rFonts w:cs="Arial"/>
              </w:rPr>
              <w:t xml:space="preserve">Hinterlegung </w:t>
            </w:r>
            <w:r w:rsidR="006B1361" w:rsidRPr="00AD60AA">
              <w:rPr>
                <w:rFonts w:cs="Arial"/>
              </w:rPr>
              <w:t>ausreichender</w:t>
            </w:r>
            <w:r w:rsidR="001471E2">
              <w:rPr>
                <w:rFonts w:cs="Arial"/>
              </w:rPr>
              <w:t xml:space="preserve"> Sicherheiten (z. </w:t>
            </w:r>
            <w:r w:rsidRPr="00AD60AA">
              <w:rPr>
                <w:rFonts w:cs="Arial"/>
              </w:rPr>
              <w:t>B. Wertpapiere)</w:t>
            </w:r>
            <w:r w:rsidR="006B1361" w:rsidRPr="00AD60AA">
              <w:rPr>
                <w:rFonts w:cs="Arial"/>
              </w:rPr>
              <w:t xml:space="preserve"> besichert. Der Kredit wird vergeben, indem die Zentralbank der Geschäftsbank auf deren Zentralbankkonto den Kreditbetrag gutschreibt. </w:t>
            </w:r>
          </w:p>
          <w:p w14:paraId="33EC9970" w14:textId="77777777" w:rsidR="006B4DA1" w:rsidRDefault="006B4DA1" w:rsidP="007C3A73">
            <w:pPr>
              <w:pStyle w:val="Listenabsatz"/>
              <w:ind w:left="360"/>
              <w:rPr>
                <w:rFonts w:cs="Arial"/>
              </w:rPr>
            </w:pPr>
          </w:p>
          <w:p w14:paraId="11D065BE" w14:textId="45409461" w:rsidR="00B505AE" w:rsidRDefault="00AD60AA" w:rsidP="007C3A73">
            <w:pPr>
              <w:pStyle w:val="Listenabsatz"/>
              <w:ind w:left="360"/>
              <w:rPr>
                <w:rFonts w:cs="Arial"/>
              </w:rPr>
            </w:pPr>
            <w:r>
              <w:rPr>
                <w:rFonts w:cs="Arial"/>
              </w:rPr>
              <w:t xml:space="preserve">In </w:t>
            </w:r>
            <w:r w:rsidR="00B505AE">
              <w:rPr>
                <w:rFonts w:cs="Arial"/>
              </w:rPr>
              <w:t>ihrem ersten Jahrzehnt hatte die EZB nur sehr kurzfristige Kredite an die Geschäftsbanken gegeben. Üblich waren Fristen von einem Tag bis zu ei</w:t>
            </w:r>
            <w:r w:rsidR="001471E2">
              <w:rPr>
                <w:rFonts w:cs="Arial"/>
              </w:rPr>
              <w:t>ner Woche oder manchmal auch 14 </w:t>
            </w:r>
            <w:r w:rsidR="00B505AE">
              <w:rPr>
                <w:rFonts w:cs="Arial"/>
              </w:rPr>
              <w:t xml:space="preserve">Tagen. Diese Kredite wurden in der Regel durch neue Kredite gleicher oder ähnlicher Art ersetzt. Durch die Kurzfristigkeit der Kredite waren für die EZB sehr schnelle Bremsreaktionen möglich, wenn sich die Geldmenge anders als von </w:t>
            </w:r>
            <w:r w:rsidR="006B4DA1">
              <w:rPr>
                <w:rFonts w:cs="Arial"/>
              </w:rPr>
              <w:t>ihr</w:t>
            </w:r>
            <w:r w:rsidR="00B505AE">
              <w:rPr>
                <w:rFonts w:cs="Arial"/>
              </w:rPr>
              <w:t xml:space="preserve"> gewünscht entwickelte.</w:t>
            </w:r>
            <w:r w:rsidR="008425F2">
              <w:rPr>
                <w:rFonts w:cs="Arial"/>
              </w:rPr>
              <w:t xml:space="preserve"> </w:t>
            </w:r>
            <w:r w:rsidR="006B4DA1">
              <w:rPr>
                <w:rFonts w:cs="Arial"/>
              </w:rPr>
              <w:t xml:space="preserve">Erst im Zuge der Finanzkrise ist die EZB dazu übergegangen, längerfristige Refinanzierungskredite an die Geschäftsbanken zu vergeben (siehe Text „Grenzen </w:t>
            </w:r>
            <w:r w:rsidR="008425F2">
              <w:rPr>
                <w:rFonts w:cs="Arial"/>
              </w:rPr>
              <w:t xml:space="preserve">der </w:t>
            </w:r>
            <w:proofErr w:type="spellStart"/>
            <w:r w:rsidR="008425F2">
              <w:rPr>
                <w:rFonts w:cs="Arial"/>
              </w:rPr>
              <w:t>Giralgeldschöpfung</w:t>
            </w:r>
            <w:proofErr w:type="spellEnd"/>
            <w:r w:rsidR="006B4DA1">
              <w:rPr>
                <w:rFonts w:cs="Arial"/>
              </w:rPr>
              <w:t>“)</w:t>
            </w:r>
            <w:r w:rsidR="001471E2">
              <w:rPr>
                <w:rFonts w:cs="Arial"/>
              </w:rPr>
              <w:t>.</w:t>
            </w:r>
          </w:p>
          <w:p w14:paraId="4359BD4D" w14:textId="77777777" w:rsidR="006B4DA1" w:rsidRDefault="006B4DA1" w:rsidP="007C3A73">
            <w:pPr>
              <w:pStyle w:val="Listenabsatz"/>
              <w:ind w:left="360"/>
              <w:rPr>
                <w:rFonts w:cs="Arial"/>
              </w:rPr>
            </w:pPr>
          </w:p>
          <w:p w14:paraId="49A1680D" w14:textId="0A2E9727" w:rsidR="00963A37" w:rsidRDefault="006B1361" w:rsidP="007C3A73">
            <w:pPr>
              <w:pStyle w:val="Listenabsatz"/>
              <w:numPr>
                <w:ilvl w:val="0"/>
                <w:numId w:val="16"/>
              </w:numPr>
              <w:rPr>
                <w:rFonts w:cs="Arial"/>
              </w:rPr>
            </w:pPr>
            <w:r w:rsidRPr="00AD60AA">
              <w:rPr>
                <w:rFonts w:cs="Arial"/>
              </w:rPr>
              <w:t xml:space="preserve">Neues Zentralbankgeld entsteht auch, wenn die Zentralbank </w:t>
            </w:r>
            <w:r w:rsidR="00D01215" w:rsidRPr="00AD60AA">
              <w:rPr>
                <w:rFonts w:cs="Arial"/>
              </w:rPr>
              <w:t xml:space="preserve">von </w:t>
            </w:r>
            <w:r w:rsidRPr="00AD60AA">
              <w:rPr>
                <w:rFonts w:cs="Arial"/>
              </w:rPr>
              <w:t xml:space="preserve">einer </w:t>
            </w:r>
            <w:r w:rsidR="00D01215" w:rsidRPr="00AD60AA">
              <w:rPr>
                <w:rFonts w:cs="Arial"/>
              </w:rPr>
              <w:t>Geschäftsb</w:t>
            </w:r>
            <w:r w:rsidRPr="00AD60AA">
              <w:rPr>
                <w:rFonts w:cs="Arial"/>
              </w:rPr>
              <w:t>ank Vermögenswert</w:t>
            </w:r>
            <w:r w:rsidR="00D01215" w:rsidRPr="00AD60AA">
              <w:rPr>
                <w:rFonts w:cs="Arial"/>
              </w:rPr>
              <w:t>e (</w:t>
            </w:r>
            <w:r w:rsidR="001471E2">
              <w:rPr>
                <w:rFonts w:cs="Arial"/>
              </w:rPr>
              <w:t>z. </w:t>
            </w:r>
            <w:r w:rsidRPr="00AD60AA">
              <w:rPr>
                <w:rFonts w:cs="Arial"/>
              </w:rPr>
              <w:t>B. Wertpapiere</w:t>
            </w:r>
            <w:r w:rsidR="00D01215" w:rsidRPr="00AD60AA">
              <w:rPr>
                <w:rFonts w:cs="Arial"/>
              </w:rPr>
              <w:t>)</w:t>
            </w:r>
            <w:r w:rsidRPr="00AD60AA">
              <w:rPr>
                <w:rFonts w:cs="Arial"/>
              </w:rPr>
              <w:t xml:space="preserve"> </w:t>
            </w:r>
            <w:r w:rsidR="00D01215" w:rsidRPr="00AD60AA">
              <w:rPr>
                <w:rFonts w:cs="Arial"/>
              </w:rPr>
              <w:t xml:space="preserve">erwirbt </w:t>
            </w:r>
            <w:r w:rsidRPr="00AD60AA">
              <w:rPr>
                <w:rFonts w:cs="Arial"/>
              </w:rPr>
              <w:t>und den Verkaufserlös auf dere</w:t>
            </w:r>
            <w:r w:rsidR="001471E2">
              <w:rPr>
                <w:rFonts w:cs="Arial"/>
              </w:rPr>
              <w:t>n Zentralbankkonto gutschreibt.</w:t>
            </w:r>
          </w:p>
          <w:p w14:paraId="4DE5F99C" w14:textId="0AA5AF84" w:rsidR="00C45CC1" w:rsidRDefault="00C45CC1" w:rsidP="007C3A73">
            <w:pPr>
              <w:pStyle w:val="Listenabsatz"/>
              <w:ind w:left="360"/>
              <w:rPr>
                <w:rFonts w:cs="Arial"/>
              </w:rPr>
            </w:pPr>
          </w:p>
          <w:p w14:paraId="114B0644" w14:textId="22DC643D" w:rsidR="00C45CC1" w:rsidRDefault="00C45CC1" w:rsidP="007C3A73">
            <w:pPr>
              <w:pStyle w:val="Listenabsatz"/>
              <w:ind w:left="360"/>
              <w:rPr>
                <w:rFonts w:cs="Arial"/>
              </w:rPr>
            </w:pPr>
            <w:r>
              <w:rPr>
                <w:rFonts w:cs="Arial"/>
              </w:rPr>
              <w:t xml:space="preserve">Die EZB hat im Mai 2010 begonnen, in größerem Umfang Wertpapiere zu erwerben. Dabei handelte es sich um </w:t>
            </w:r>
            <w:r w:rsidR="00440721">
              <w:rPr>
                <w:rFonts w:cs="Arial"/>
              </w:rPr>
              <w:t>Anleihen</w:t>
            </w:r>
            <w:r>
              <w:rPr>
                <w:rFonts w:cs="Arial"/>
              </w:rPr>
              <w:t xml:space="preserve"> </w:t>
            </w:r>
            <w:r w:rsidR="00440721">
              <w:rPr>
                <w:rFonts w:cs="Arial"/>
              </w:rPr>
              <w:t xml:space="preserve">verschiedener Staaten, die besonders von der Eurokrise betroffen waren. </w:t>
            </w:r>
            <w:r w:rsidR="001471E2">
              <w:rPr>
                <w:rFonts w:cs="Arial"/>
              </w:rPr>
              <w:t>Bis Februar 2012 wurden für 223 Mrd. Euro Staatspapiere erworben.</w:t>
            </w:r>
          </w:p>
          <w:p w14:paraId="013BD13E" w14:textId="6ED6F556" w:rsidR="00440721" w:rsidRDefault="00440721" w:rsidP="007C3A73">
            <w:pPr>
              <w:pStyle w:val="Listenabsatz"/>
              <w:ind w:left="360"/>
              <w:rPr>
                <w:rFonts w:cs="Arial"/>
              </w:rPr>
            </w:pPr>
          </w:p>
          <w:p w14:paraId="478EDED3" w14:textId="69576BD0" w:rsidR="00440721" w:rsidRDefault="00440721" w:rsidP="007C3A73">
            <w:pPr>
              <w:pStyle w:val="Listenabsatz"/>
              <w:ind w:left="360"/>
              <w:rPr>
                <w:rFonts w:cs="Arial"/>
              </w:rPr>
            </w:pPr>
            <w:r>
              <w:rPr>
                <w:rFonts w:cs="Arial"/>
              </w:rPr>
              <w:t>Nach einer knapp dreijährigen Pause beschloss der EZB-Rat in seiner Sitzung am 22.01.2015, im März desselben Jahres mit sehr umfassenden Wertpapierankaufprogrammen zu beginnen</w:t>
            </w:r>
            <w:r w:rsidR="00C75C4E">
              <w:rPr>
                <w:rFonts w:cs="Arial"/>
              </w:rPr>
              <w:t>, die in verschiedenen Formen bis heute umgesetzt werden</w:t>
            </w:r>
            <w:r w:rsidR="00C83EF6">
              <w:rPr>
                <w:rFonts w:cs="Arial"/>
              </w:rPr>
              <w:t xml:space="preserve"> (Fachbegriff Quantitative </w:t>
            </w:r>
            <w:proofErr w:type="spellStart"/>
            <w:r w:rsidR="00C83EF6">
              <w:rPr>
                <w:rFonts w:cs="Arial"/>
              </w:rPr>
              <w:t>Easing</w:t>
            </w:r>
            <w:proofErr w:type="spellEnd"/>
            <w:r w:rsidR="00C83EF6">
              <w:rPr>
                <w:rFonts w:cs="Arial"/>
              </w:rPr>
              <w:t xml:space="preserve"> bzw. Quantitative Lockerung)</w:t>
            </w:r>
            <w:r w:rsidR="00C75C4E">
              <w:rPr>
                <w:rFonts w:cs="Arial"/>
              </w:rPr>
              <w:t>. Das mit Abstand höchste Volumen entfällt auf die Staatspapierkäufe</w:t>
            </w:r>
            <w:r w:rsidR="003966CC">
              <w:rPr>
                <w:rFonts w:cs="Arial"/>
              </w:rPr>
              <w:t>, davon wiederum der Löwenanteil auf die Programme mit den Bezeichnungen PSPP und PEPP</w:t>
            </w:r>
            <w:r w:rsidR="00584B63">
              <w:rPr>
                <w:rFonts w:cs="Arial"/>
              </w:rPr>
              <w:t xml:space="preserve">. Etwa drei Viertel des Zuwachses der Schulden der Euroländer </w:t>
            </w:r>
            <w:r w:rsidR="00BC50A5">
              <w:rPr>
                <w:rFonts w:cs="Arial"/>
              </w:rPr>
              <w:t xml:space="preserve">seit Ende 2008 </w:t>
            </w:r>
            <w:r w:rsidR="00584B63">
              <w:rPr>
                <w:rFonts w:cs="Arial"/>
              </w:rPr>
              <w:t xml:space="preserve">wurden </w:t>
            </w:r>
            <w:r w:rsidR="00603D2D">
              <w:rPr>
                <w:rFonts w:cs="Arial"/>
              </w:rPr>
              <w:t>durch das</w:t>
            </w:r>
            <w:r w:rsidR="00584B63">
              <w:rPr>
                <w:rFonts w:cs="Arial"/>
              </w:rPr>
              <w:t xml:space="preserve"> Euro</w:t>
            </w:r>
            <w:r w:rsidR="0074232F">
              <w:rPr>
                <w:rFonts w:cs="Arial"/>
              </w:rPr>
              <w:t>system</w:t>
            </w:r>
            <w:r w:rsidR="00584B63">
              <w:rPr>
                <w:rFonts w:cs="Arial"/>
              </w:rPr>
              <w:t xml:space="preserve"> mittels des Ankaufs der Staatsanleihen </w:t>
            </w:r>
            <w:r w:rsidR="00603D2D">
              <w:rPr>
                <w:rFonts w:cs="Arial"/>
              </w:rPr>
              <w:t>von den</w:t>
            </w:r>
            <w:r w:rsidR="00584B63">
              <w:rPr>
                <w:rFonts w:cs="Arial"/>
              </w:rPr>
              <w:t xml:space="preserve"> Geschäftsbanken finanziert. </w:t>
            </w:r>
            <w:r w:rsidR="003966CC">
              <w:rPr>
                <w:rFonts w:cs="Arial"/>
              </w:rPr>
              <w:t>D</w:t>
            </w:r>
            <w:r w:rsidR="00CE511C">
              <w:rPr>
                <w:rFonts w:cs="Arial"/>
              </w:rPr>
              <w:t>urch die</w:t>
            </w:r>
            <w:r w:rsidR="00603D2D">
              <w:rPr>
                <w:rFonts w:cs="Arial"/>
              </w:rPr>
              <w:t>se</w:t>
            </w:r>
            <w:r w:rsidR="003966CC">
              <w:rPr>
                <w:rFonts w:cs="Arial"/>
              </w:rPr>
              <w:t xml:space="preserve"> Staatspapier</w:t>
            </w:r>
            <w:r w:rsidR="00C83EF6">
              <w:rPr>
                <w:rFonts w:cs="Arial"/>
              </w:rPr>
              <w:t>käufe</w:t>
            </w:r>
            <w:r w:rsidR="003966CC">
              <w:rPr>
                <w:rFonts w:cs="Arial"/>
              </w:rPr>
              <w:t xml:space="preserve"> </w:t>
            </w:r>
            <w:r w:rsidR="00CE511C">
              <w:rPr>
                <w:rFonts w:cs="Arial"/>
              </w:rPr>
              <w:t>hat die EZB bis zum</w:t>
            </w:r>
            <w:r w:rsidR="003966CC">
              <w:rPr>
                <w:rFonts w:cs="Arial"/>
              </w:rPr>
              <w:t xml:space="preserve"> 20.09.2021 insgesamt </w:t>
            </w:r>
            <w:r w:rsidR="001471E2">
              <w:rPr>
                <w:rFonts w:cs="Arial"/>
              </w:rPr>
              <w:t>3.951 Mrd. </w:t>
            </w:r>
            <w:r w:rsidR="003966CC">
              <w:rPr>
                <w:rFonts w:cs="Arial"/>
              </w:rPr>
              <w:t>Euro</w:t>
            </w:r>
            <w:r w:rsidR="00CE511C">
              <w:rPr>
                <w:rFonts w:cs="Arial"/>
              </w:rPr>
              <w:t xml:space="preserve"> frisches Zentralbankgeld in Umlauf gebracht.</w:t>
            </w:r>
          </w:p>
          <w:p w14:paraId="188C6CDD" w14:textId="0A7D5C3C" w:rsidR="00C45CC1" w:rsidRDefault="00C45CC1" w:rsidP="007C3A73">
            <w:pPr>
              <w:rPr>
                <w:rFonts w:cs="Arial"/>
              </w:rPr>
            </w:pPr>
          </w:p>
          <w:p w14:paraId="7EA5A61F" w14:textId="4976D0DE" w:rsidR="00963A37" w:rsidRDefault="00CE511C" w:rsidP="007C3A73">
            <w:pPr>
              <w:rPr>
                <w:rFonts w:cs="Arial"/>
              </w:rPr>
            </w:pPr>
            <w:r>
              <w:rPr>
                <w:rFonts w:cs="Arial"/>
              </w:rPr>
              <w:t xml:space="preserve">Insgesamt ist die Zentralbankgeldmenge zwischen Mitte des Jahres 2008 und September 2021 von etwa </w:t>
            </w:r>
            <w:r w:rsidR="00090E04">
              <w:rPr>
                <w:rFonts w:cs="Arial"/>
              </w:rPr>
              <w:t>880</w:t>
            </w:r>
            <w:r w:rsidR="001471E2">
              <w:rPr>
                <w:rFonts w:cs="Arial"/>
              </w:rPr>
              <w:t xml:space="preserve"> auf etwa 5.990 Mrd. </w:t>
            </w:r>
            <w:r>
              <w:rPr>
                <w:rFonts w:cs="Arial"/>
              </w:rPr>
              <w:t xml:space="preserve">Euro </w:t>
            </w:r>
            <w:r w:rsidR="00090E04">
              <w:rPr>
                <w:rFonts w:cs="Arial"/>
              </w:rPr>
              <w:t>und damit um ein Vielfaches schneller als die Wirtschaftsleistung im Euroraum</w:t>
            </w:r>
            <w:r w:rsidR="00C83EF6">
              <w:rPr>
                <w:rFonts w:cs="Arial"/>
              </w:rPr>
              <w:t xml:space="preserve"> gewachsen</w:t>
            </w:r>
            <w:r>
              <w:rPr>
                <w:rFonts w:cs="Arial"/>
              </w:rPr>
              <w:t>.</w:t>
            </w:r>
            <w:r w:rsidR="00090E04">
              <w:rPr>
                <w:rFonts w:cs="Arial"/>
              </w:rPr>
              <w:t xml:space="preserve"> Bei einem proportionalen Anstieg der Zentralbankgeldm</w:t>
            </w:r>
            <w:r w:rsidR="001471E2">
              <w:rPr>
                <w:rFonts w:cs="Arial"/>
              </w:rPr>
              <w:t>enge würde diese nur etwa 1.100 Mrd. Euro betragen. Etwa 4.900 Mrd. </w:t>
            </w:r>
            <w:r w:rsidR="00090E04">
              <w:rPr>
                <w:rFonts w:cs="Arial"/>
              </w:rPr>
              <w:t xml:space="preserve">Euro stellen </w:t>
            </w:r>
            <w:r w:rsidR="00603D2D">
              <w:rPr>
                <w:rFonts w:cs="Arial"/>
              </w:rPr>
              <w:t xml:space="preserve">somit </w:t>
            </w:r>
            <w:r w:rsidR="00090E04">
              <w:rPr>
                <w:rFonts w:cs="Arial"/>
              </w:rPr>
              <w:t>einen Geldüberhang dar, von dem</w:t>
            </w:r>
            <w:r w:rsidR="00603D2D">
              <w:rPr>
                <w:rFonts w:cs="Arial"/>
              </w:rPr>
              <w:t>, wie beschrieben,</w:t>
            </w:r>
            <w:r w:rsidR="00090E04">
              <w:rPr>
                <w:rFonts w:cs="Arial"/>
              </w:rPr>
              <w:t xml:space="preserve"> etwa vier Fünftel durch die Käufe staatlicher </w:t>
            </w:r>
            <w:r w:rsidR="00C83EF6">
              <w:rPr>
                <w:rFonts w:cs="Arial"/>
              </w:rPr>
              <w:t>Schuldp</w:t>
            </w:r>
            <w:r w:rsidR="00090E04">
              <w:rPr>
                <w:rFonts w:cs="Arial"/>
              </w:rPr>
              <w:t>apiere in Umlauf gekommen sind.</w:t>
            </w:r>
          </w:p>
          <w:p w14:paraId="363A50B6" w14:textId="77777777" w:rsidR="00FB5E9F" w:rsidRDefault="00FB5E9F" w:rsidP="007C3A73">
            <w:pPr>
              <w:rPr>
                <w:rFonts w:cs="Arial"/>
              </w:rPr>
            </w:pPr>
          </w:p>
          <w:p w14:paraId="50218AAC" w14:textId="50B7CCD8" w:rsidR="00244F36" w:rsidRDefault="00244F36" w:rsidP="007C3A73">
            <w:pPr>
              <w:rPr>
                <w:rFonts w:cs="Arial"/>
              </w:rPr>
            </w:pPr>
          </w:p>
        </w:tc>
      </w:tr>
      <w:tr w:rsidR="00963A37" w14:paraId="6CD81798" w14:textId="77777777" w:rsidTr="00D61CDA">
        <w:tc>
          <w:tcPr>
            <w:tcW w:w="9628" w:type="dxa"/>
          </w:tcPr>
          <w:p w14:paraId="6D7A631C" w14:textId="2F8DAA77" w:rsidR="00963A37" w:rsidRDefault="00B33A5B" w:rsidP="006940BF">
            <w:pPr>
              <w:spacing w:before="240" w:after="240"/>
              <w:jc w:val="center"/>
              <w:rPr>
                <w:rFonts w:cs="Arial"/>
                <w:b/>
                <w:bCs/>
              </w:rPr>
            </w:pPr>
            <w:r>
              <w:rPr>
                <w:rFonts w:cs="Arial"/>
                <w:b/>
                <w:bCs/>
              </w:rPr>
              <w:lastRenderedPageBreak/>
              <w:t xml:space="preserve">Auswirkungen der </w:t>
            </w:r>
            <w:r w:rsidR="00A35854">
              <w:rPr>
                <w:rFonts w:cs="Arial"/>
                <w:b/>
                <w:bCs/>
              </w:rPr>
              <w:t xml:space="preserve">umfangreichen </w:t>
            </w:r>
            <w:r w:rsidR="0043111D">
              <w:rPr>
                <w:rFonts w:cs="Arial"/>
                <w:b/>
                <w:bCs/>
              </w:rPr>
              <w:t>G</w:t>
            </w:r>
            <w:r w:rsidR="006940BF">
              <w:rPr>
                <w:rFonts w:cs="Arial"/>
                <w:b/>
                <w:bCs/>
              </w:rPr>
              <w:t>eldschöpfung im Euroraum</w:t>
            </w:r>
          </w:p>
          <w:p w14:paraId="1547F80D" w14:textId="3B44C32F" w:rsidR="008C7B23" w:rsidRDefault="00D02FF6" w:rsidP="007C3A73">
            <w:pPr>
              <w:rPr>
                <w:rFonts w:cs="Arial"/>
              </w:rPr>
            </w:pPr>
            <w:r>
              <w:rPr>
                <w:rFonts w:cs="Arial"/>
              </w:rPr>
              <w:t>Die starke Zunahme der Geldmenge M3 im Euroraum seit dem Jahr 1980 erfolgte im Wesentlichen infolge der Aufnahme von Krediten. Die Schulden von Staaten, privaten Haushalten und Unternehmen nahmen im Euroraum deutlich zu. Dieser Trend wurde durch die Einführung des Euro im Jahr 1999 beschleunigt</w:t>
            </w:r>
            <w:r w:rsidR="00EB1072">
              <w:rPr>
                <w:rFonts w:cs="Arial"/>
              </w:rPr>
              <w:t>, weil mit der gemeinsamen Währung die Marktzinssätze in vielen Ländern des Euroraums auf ein rekordtiefes Niveau sanken.</w:t>
            </w:r>
            <w:r w:rsidR="008741EF">
              <w:rPr>
                <w:rFonts w:cs="Arial"/>
              </w:rPr>
              <w:t xml:space="preserve"> </w:t>
            </w:r>
            <w:r>
              <w:rPr>
                <w:rFonts w:cs="Arial"/>
              </w:rPr>
              <w:t xml:space="preserve">Die </w:t>
            </w:r>
            <w:r w:rsidR="003D280B">
              <w:rPr>
                <w:rFonts w:cs="Arial"/>
              </w:rPr>
              <w:t>neu aufgenommenen Kredite</w:t>
            </w:r>
            <w:r>
              <w:rPr>
                <w:rFonts w:cs="Arial"/>
              </w:rPr>
              <w:t xml:space="preserve"> diente</w:t>
            </w:r>
            <w:r w:rsidR="003D280B">
              <w:rPr>
                <w:rFonts w:cs="Arial"/>
              </w:rPr>
              <w:t>n</w:t>
            </w:r>
            <w:r>
              <w:rPr>
                <w:rFonts w:cs="Arial"/>
              </w:rPr>
              <w:t xml:space="preserve"> vor allem dem Konsum und der Spekulation</w:t>
            </w:r>
            <w:r w:rsidR="003D280B">
              <w:rPr>
                <w:rFonts w:cs="Arial"/>
              </w:rPr>
              <w:t xml:space="preserve">, im Besonderen der Immobilienfinanzierung. Die Verschuldung für produktive Investitionen der Unternehmen blieb hingegen konstant auf niedrigem Niveau und </w:t>
            </w:r>
            <w:r>
              <w:rPr>
                <w:rFonts w:cs="Arial"/>
              </w:rPr>
              <w:t xml:space="preserve">die Wachstumsrate der Realwirtschaft </w:t>
            </w:r>
            <w:r w:rsidR="003D280B">
              <w:rPr>
                <w:rFonts w:cs="Arial"/>
              </w:rPr>
              <w:t>schrumpfte kontinuierlich</w:t>
            </w:r>
            <w:r w:rsidR="00B530B0">
              <w:rPr>
                <w:rFonts w:cs="Arial"/>
              </w:rPr>
              <w:t>.</w:t>
            </w:r>
          </w:p>
          <w:p w14:paraId="7E987A2F" w14:textId="77777777" w:rsidR="008C7B23" w:rsidRDefault="008C7B23" w:rsidP="007C3A73">
            <w:pPr>
              <w:rPr>
                <w:rFonts w:cs="Arial"/>
              </w:rPr>
            </w:pPr>
          </w:p>
          <w:p w14:paraId="175ED185" w14:textId="141859F8" w:rsidR="008C7B23" w:rsidRDefault="008C7B23" w:rsidP="007C3A73">
            <w:pPr>
              <w:rPr>
                <w:rFonts w:cs="Arial"/>
              </w:rPr>
            </w:pPr>
            <w:r>
              <w:rPr>
                <w:rFonts w:cs="Arial"/>
              </w:rPr>
              <w:t xml:space="preserve">Die Schulden des einen sind immer das Vermögen des anderen. Wenn das Bankensystem Geld durch die Beleihung von Sicherheiten aus dem Nichts schafft, so schafft es genauso Vermögen. </w:t>
            </w:r>
            <w:r w:rsidR="00BC17C0">
              <w:rPr>
                <w:rFonts w:cs="Arial"/>
              </w:rPr>
              <w:t xml:space="preserve">Dementsprechend </w:t>
            </w:r>
            <w:r w:rsidR="00DE5C98">
              <w:rPr>
                <w:rFonts w:cs="Arial"/>
              </w:rPr>
              <w:t>sind</w:t>
            </w:r>
            <w:r w:rsidR="00BC17C0">
              <w:rPr>
                <w:rFonts w:cs="Arial"/>
              </w:rPr>
              <w:t xml:space="preserve"> das Geld- und Sachvermögen </w:t>
            </w:r>
            <w:r w:rsidR="00DE5C98">
              <w:rPr>
                <w:rFonts w:cs="Arial"/>
              </w:rPr>
              <w:t xml:space="preserve">sowie die Geld- und Kreditschöpfung </w:t>
            </w:r>
            <w:r w:rsidR="00BC17C0">
              <w:rPr>
                <w:rFonts w:cs="Arial"/>
              </w:rPr>
              <w:t>in Deutschland</w:t>
            </w:r>
            <w:r w:rsidR="00DE5C98">
              <w:rPr>
                <w:rFonts w:cs="Arial"/>
              </w:rPr>
              <w:t xml:space="preserve"> weitgehend parallel gewachsen.</w:t>
            </w:r>
          </w:p>
          <w:p w14:paraId="169C7411" w14:textId="77777777" w:rsidR="008C7B23" w:rsidRDefault="008C7B23" w:rsidP="007C3A73">
            <w:pPr>
              <w:rPr>
                <w:rFonts w:cs="Arial"/>
              </w:rPr>
            </w:pPr>
          </w:p>
          <w:p w14:paraId="0FA0FD54" w14:textId="31DD135F" w:rsidR="00EB1072" w:rsidRDefault="008C7B23" w:rsidP="007C3A73">
            <w:pPr>
              <w:rPr>
                <w:rFonts w:cs="Arial"/>
              </w:rPr>
            </w:pPr>
            <w:r w:rsidRPr="00842CA9">
              <w:rPr>
                <w:rFonts w:cs="Arial"/>
              </w:rPr>
              <w:t xml:space="preserve">Geschäftsbanken vergeben zunächst Kredite an gute Schuldner mit entsprechenden Sicherheiten. Die Geldmenge wächst und die Wirtschaft wird durch die Kreditvergabe angekurbelt. Einkommen und Vermögenspreise </w:t>
            </w:r>
            <w:r w:rsidR="00187A09" w:rsidRPr="00842CA9">
              <w:rPr>
                <w:rFonts w:cs="Arial"/>
              </w:rPr>
              <w:t>steigen. Höhere Vermögenspreise führen zu einem Wertzuwachs bei den Sicherheiten. Dadurch können die Banken mehr Kredite vergeben und die Schuldner mehr Kredite</w:t>
            </w:r>
            <w:r w:rsidR="00187A09">
              <w:rPr>
                <w:rFonts w:cs="Arial"/>
              </w:rPr>
              <w:t xml:space="preserve"> aufnehmen. Am besten geht dies mit Immobilien. </w:t>
            </w:r>
            <w:r w:rsidR="00B530B0">
              <w:rPr>
                <w:rFonts w:cs="Arial"/>
              </w:rPr>
              <w:t xml:space="preserve">Käuferinnen und </w:t>
            </w:r>
            <w:r w:rsidR="00187A09">
              <w:rPr>
                <w:rFonts w:cs="Arial"/>
              </w:rPr>
              <w:t xml:space="preserve">Käufer von Immobilien nehmen einen Kredit auf und sind auch bereit, immer mehr für ein Objekt zu zahlen, </w:t>
            </w:r>
            <w:r w:rsidR="003D280B">
              <w:rPr>
                <w:rFonts w:cs="Arial"/>
              </w:rPr>
              <w:t>weil</w:t>
            </w:r>
            <w:r w:rsidR="00187A09">
              <w:rPr>
                <w:rFonts w:cs="Arial"/>
              </w:rPr>
              <w:t xml:space="preserve"> sie konstante oder steigende </w:t>
            </w:r>
            <w:r w:rsidR="003D280B">
              <w:rPr>
                <w:rFonts w:cs="Arial"/>
              </w:rPr>
              <w:t>Immobilienp</w:t>
            </w:r>
            <w:r w:rsidR="00187A09">
              <w:rPr>
                <w:rFonts w:cs="Arial"/>
              </w:rPr>
              <w:t>reise erwarten.</w:t>
            </w:r>
            <w:r w:rsidR="00EB1072">
              <w:rPr>
                <w:rFonts w:cs="Arial"/>
              </w:rPr>
              <w:t xml:space="preserve"> </w:t>
            </w:r>
            <w:r w:rsidR="00B50065">
              <w:rPr>
                <w:rFonts w:cs="Arial"/>
              </w:rPr>
              <w:t>Diese</w:t>
            </w:r>
            <w:r w:rsidR="00EE5DA3">
              <w:rPr>
                <w:rFonts w:cs="Arial"/>
              </w:rPr>
              <w:t xml:space="preserve">r Prozess </w:t>
            </w:r>
            <w:r w:rsidR="00B50065">
              <w:rPr>
                <w:rFonts w:cs="Arial"/>
              </w:rPr>
              <w:t xml:space="preserve">kann sich verselbständigen und im Laufe der Zeit zur Bildung von </w:t>
            </w:r>
            <w:r w:rsidR="00D25005">
              <w:rPr>
                <w:rFonts w:cs="Arial"/>
              </w:rPr>
              <w:t>„</w:t>
            </w:r>
            <w:r w:rsidR="00B50065">
              <w:rPr>
                <w:rFonts w:cs="Arial"/>
              </w:rPr>
              <w:t>Preisblasen</w:t>
            </w:r>
            <w:r w:rsidR="00D25005">
              <w:rPr>
                <w:rFonts w:cs="Arial"/>
              </w:rPr>
              <w:t>“</w:t>
            </w:r>
            <w:r w:rsidR="00B50065">
              <w:rPr>
                <w:rFonts w:cs="Arial"/>
              </w:rPr>
              <w:t xml:space="preserve"> (starke Überbewertungen) führen.</w:t>
            </w:r>
          </w:p>
          <w:p w14:paraId="177C2B0B" w14:textId="77777777" w:rsidR="00EB1072" w:rsidRDefault="00EB1072" w:rsidP="007C3A73">
            <w:pPr>
              <w:rPr>
                <w:rFonts w:cs="Arial"/>
              </w:rPr>
            </w:pPr>
          </w:p>
          <w:p w14:paraId="52B06A53" w14:textId="28F00A44" w:rsidR="00F129AB" w:rsidRDefault="00187A09" w:rsidP="007C3A73">
            <w:pPr>
              <w:rPr>
                <w:rFonts w:cs="Arial"/>
              </w:rPr>
            </w:pPr>
            <w:r>
              <w:rPr>
                <w:rFonts w:cs="Arial"/>
              </w:rPr>
              <w:t xml:space="preserve">Der schuldenfinanzierte Boom in den Jahren </w:t>
            </w:r>
            <w:r w:rsidR="00F129AB">
              <w:rPr>
                <w:rFonts w:cs="Arial"/>
              </w:rPr>
              <w:t>1999 bis 2008</w:t>
            </w:r>
            <w:r>
              <w:rPr>
                <w:rFonts w:cs="Arial"/>
              </w:rPr>
              <w:t xml:space="preserve"> hatte die Preise für Immobilien in Ländern wie Spanien oder Irland auf ein Rekordniveau getrieben. </w:t>
            </w:r>
            <w:r w:rsidR="00F129AB">
              <w:rPr>
                <w:rFonts w:cs="Arial"/>
              </w:rPr>
              <w:t xml:space="preserve">Die Entwicklung </w:t>
            </w:r>
            <w:r w:rsidR="007B56AD">
              <w:rPr>
                <w:rFonts w:cs="Arial"/>
              </w:rPr>
              <w:t xml:space="preserve">in diesen beiden Ländern </w:t>
            </w:r>
            <w:r w:rsidR="00F129AB">
              <w:rPr>
                <w:rFonts w:cs="Arial"/>
              </w:rPr>
              <w:t xml:space="preserve">zeigt beispielhaft, dass Geschäftsbanken im Prinzip unbegrenzt Kredite und neues Geld schaffen können, sofern sie dabei nicht durch die </w:t>
            </w:r>
            <w:r w:rsidR="004A42C5">
              <w:rPr>
                <w:rFonts w:cs="Arial"/>
              </w:rPr>
              <w:t>Geld</w:t>
            </w:r>
            <w:r w:rsidR="00F129AB">
              <w:rPr>
                <w:rFonts w:cs="Arial"/>
              </w:rPr>
              <w:t>politik der Notenbank oder durch Regulierungen der Bankenaufsicht daran gehindert werden.</w:t>
            </w:r>
          </w:p>
          <w:p w14:paraId="0C5F3A27" w14:textId="3C4698DA" w:rsidR="008741EF" w:rsidRDefault="008741EF" w:rsidP="007C3A73">
            <w:pPr>
              <w:rPr>
                <w:rFonts w:cs="Arial"/>
              </w:rPr>
            </w:pPr>
          </w:p>
          <w:p w14:paraId="59472367" w14:textId="608BE588" w:rsidR="001A34AA" w:rsidRDefault="008741EF" w:rsidP="007C3A73">
            <w:pPr>
              <w:rPr>
                <w:rFonts w:cs="Arial"/>
              </w:rPr>
            </w:pPr>
            <w:r>
              <w:rPr>
                <w:rFonts w:cs="Arial"/>
              </w:rPr>
              <w:t xml:space="preserve">Mit dem Ausbruch der Finanzkrise in den Vereinigten Staaten </w:t>
            </w:r>
            <w:r w:rsidR="0096693C">
              <w:rPr>
                <w:rFonts w:cs="Arial"/>
              </w:rPr>
              <w:t xml:space="preserve">im Jahr 2008 </w:t>
            </w:r>
            <w:r>
              <w:rPr>
                <w:rFonts w:cs="Arial"/>
              </w:rPr>
              <w:t xml:space="preserve">kam auch der beispiellose Verschuldungsboom </w:t>
            </w:r>
            <w:r w:rsidR="007B56AD">
              <w:rPr>
                <w:rFonts w:cs="Arial"/>
              </w:rPr>
              <w:t>in vielen Euro</w:t>
            </w:r>
            <w:r w:rsidR="00D2006B">
              <w:rPr>
                <w:rFonts w:cs="Arial"/>
              </w:rPr>
              <w:t>staaten</w:t>
            </w:r>
            <w:r w:rsidR="007B56AD">
              <w:rPr>
                <w:rFonts w:cs="Arial"/>
              </w:rPr>
              <w:t xml:space="preserve"> </w:t>
            </w:r>
            <w:r>
              <w:rPr>
                <w:rFonts w:cs="Arial"/>
              </w:rPr>
              <w:t>zu einem abrupten Ende. Aufgrund der extremen Dimensionen der Verschuldung stand das Finanzsystem weltweit vor einem Kollaps</w:t>
            </w:r>
            <w:r w:rsidR="001A34AA">
              <w:rPr>
                <w:rFonts w:cs="Arial"/>
              </w:rPr>
              <w:t>:</w:t>
            </w:r>
          </w:p>
          <w:p w14:paraId="50D4E9DE" w14:textId="77777777" w:rsidR="008B33B4" w:rsidRDefault="008B33B4" w:rsidP="007C3A73">
            <w:pPr>
              <w:rPr>
                <w:rFonts w:cs="Arial"/>
              </w:rPr>
            </w:pPr>
          </w:p>
          <w:p w14:paraId="34D1453F" w14:textId="658CF07B" w:rsidR="001A34AA" w:rsidRDefault="008741EF" w:rsidP="00F175CF">
            <w:pPr>
              <w:pStyle w:val="Listenabsatz"/>
              <w:numPr>
                <w:ilvl w:val="0"/>
                <w:numId w:val="12"/>
              </w:numPr>
              <w:ind w:left="454" w:hanging="283"/>
              <w:rPr>
                <w:rFonts w:cs="Arial"/>
              </w:rPr>
            </w:pPr>
            <w:r w:rsidRPr="001A34AA">
              <w:rPr>
                <w:rFonts w:cs="Arial"/>
              </w:rPr>
              <w:t>Immobilienpreise brachen ein</w:t>
            </w:r>
            <w:r w:rsidR="00B530B0">
              <w:rPr>
                <w:rFonts w:cs="Arial"/>
              </w:rPr>
              <w:t>,</w:t>
            </w:r>
          </w:p>
          <w:p w14:paraId="2E997FEE" w14:textId="46192BB8" w:rsidR="001A34AA" w:rsidRDefault="008741EF" w:rsidP="00F175CF">
            <w:pPr>
              <w:pStyle w:val="Listenabsatz"/>
              <w:numPr>
                <w:ilvl w:val="0"/>
                <w:numId w:val="12"/>
              </w:numPr>
              <w:ind w:left="454" w:hanging="283"/>
              <w:rPr>
                <w:rFonts w:cs="Arial"/>
              </w:rPr>
            </w:pPr>
            <w:r w:rsidRPr="001A34AA">
              <w:rPr>
                <w:rFonts w:cs="Arial"/>
              </w:rPr>
              <w:t xml:space="preserve">Kredite </w:t>
            </w:r>
            <w:r w:rsidR="001A34AA">
              <w:rPr>
                <w:rFonts w:cs="Arial"/>
              </w:rPr>
              <w:t xml:space="preserve">wurden </w:t>
            </w:r>
            <w:r w:rsidRPr="001A34AA">
              <w:rPr>
                <w:rFonts w:cs="Arial"/>
              </w:rPr>
              <w:t>nicht mehr bedient</w:t>
            </w:r>
            <w:r w:rsidR="001A34AA">
              <w:rPr>
                <w:rFonts w:cs="Arial"/>
              </w:rPr>
              <w:t>,</w:t>
            </w:r>
          </w:p>
          <w:p w14:paraId="3B398279" w14:textId="21D2E1A5" w:rsidR="001A34AA" w:rsidRDefault="00D60950" w:rsidP="00F175CF">
            <w:pPr>
              <w:pStyle w:val="Listenabsatz"/>
              <w:numPr>
                <w:ilvl w:val="0"/>
                <w:numId w:val="12"/>
              </w:numPr>
              <w:ind w:left="454" w:hanging="283"/>
              <w:rPr>
                <w:rFonts w:cs="Arial"/>
              </w:rPr>
            </w:pPr>
            <w:r>
              <w:rPr>
                <w:rFonts w:cs="Arial"/>
              </w:rPr>
              <w:t>p</w:t>
            </w:r>
            <w:r w:rsidR="001A34AA">
              <w:rPr>
                <w:rFonts w:cs="Arial"/>
              </w:rPr>
              <w:t xml:space="preserve">rivates Kapital wurde von den </w:t>
            </w:r>
            <w:r w:rsidR="001A34AA" w:rsidRPr="00842CA9">
              <w:rPr>
                <w:rFonts w:cs="Arial"/>
              </w:rPr>
              <w:t>Gläubigern</w:t>
            </w:r>
            <w:r w:rsidR="00B530B0" w:rsidRPr="00842CA9">
              <w:rPr>
                <w:rFonts w:cs="Arial"/>
              </w:rPr>
              <w:t xml:space="preserve"> abgezogen</w:t>
            </w:r>
            <w:r w:rsidR="00B530B0">
              <w:rPr>
                <w:rFonts w:cs="Arial"/>
              </w:rPr>
              <w:t>,</w:t>
            </w:r>
          </w:p>
          <w:p w14:paraId="0595B0E2" w14:textId="26ADDD32" w:rsidR="001A34AA" w:rsidRDefault="001A34AA" w:rsidP="00F175CF">
            <w:pPr>
              <w:pStyle w:val="Listenabsatz"/>
              <w:numPr>
                <w:ilvl w:val="0"/>
                <w:numId w:val="12"/>
              </w:numPr>
              <w:ind w:left="454" w:hanging="283"/>
              <w:rPr>
                <w:rFonts w:cs="Arial"/>
              </w:rPr>
            </w:pPr>
            <w:r>
              <w:rPr>
                <w:rFonts w:cs="Arial"/>
              </w:rPr>
              <w:t>Kredite wurden nicht verlängert oder gekündigt,</w:t>
            </w:r>
          </w:p>
          <w:p w14:paraId="56C245CA" w14:textId="510FC356" w:rsidR="001A34AA" w:rsidRDefault="001A34AA" w:rsidP="00F175CF">
            <w:pPr>
              <w:pStyle w:val="Listenabsatz"/>
              <w:numPr>
                <w:ilvl w:val="0"/>
                <w:numId w:val="12"/>
              </w:numPr>
              <w:ind w:left="454" w:hanging="283"/>
              <w:rPr>
                <w:rFonts w:cs="Arial"/>
              </w:rPr>
            </w:pPr>
            <w:r>
              <w:rPr>
                <w:rFonts w:cs="Arial"/>
              </w:rPr>
              <w:t>Notverkäufe von Immobilien und Vermögensgütern führten zu weiteren Preisrückgängen</w:t>
            </w:r>
            <w:r w:rsidR="00D60950">
              <w:rPr>
                <w:rFonts w:cs="Arial"/>
              </w:rPr>
              <w:t>,</w:t>
            </w:r>
          </w:p>
          <w:p w14:paraId="64C58F95" w14:textId="3CF87B9D" w:rsidR="00D60950" w:rsidRDefault="00D60950" w:rsidP="00F175CF">
            <w:pPr>
              <w:pStyle w:val="Listenabsatz"/>
              <w:numPr>
                <w:ilvl w:val="0"/>
                <w:numId w:val="12"/>
              </w:numPr>
              <w:ind w:left="454" w:hanging="283"/>
              <w:rPr>
                <w:rFonts w:cs="Arial"/>
              </w:rPr>
            </w:pPr>
            <w:r>
              <w:rPr>
                <w:rFonts w:cs="Arial"/>
              </w:rPr>
              <w:t>die Kreditvergabe zwischen den Geschäftsbanken kam zum Erliegen,</w:t>
            </w:r>
          </w:p>
          <w:p w14:paraId="028CF386" w14:textId="74C37396" w:rsidR="00D60950" w:rsidRPr="00D60950" w:rsidRDefault="00D60950" w:rsidP="00F175CF">
            <w:pPr>
              <w:pStyle w:val="Listenabsatz"/>
              <w:numPr>
                <w:ilvl w:val="0"/>
                <w:numId w:val="12"/>
              </w:numPr>
              <w:ind w:left="454" w:hanging="283"/>
              <w:rPr>
                <w:rFonts w:cs="Arial"/>
              </w:rPr>
            </w:pPr>
            <w:r>
              <w:rPr>
                <w:rFonts w:cs="Arial"/>
              </w:rPr>
              <w:t xml:space="preserve">immer mehr </w:t>
            </w:r>
            <w:r w:rsidRPr="001A34AA">
              <w:rPr>
                <w:rFonts w:cs="Arial"/>
              </w:rPr>
              <w:t>Geschäftsbanken standen vor dem Zusammenbruch</w:t>
            </w:r>
            <w:r>
              <w:rPr>
                <w:rFonts w:cs="Arial"/>
              </w:rPr>
              <w:t>.</w:t>
            </w:r>
          </w:p>
          <w:p w14:paraId="61ED50EC" w14:textId="5E63DCD5" w:rsidR="001A34AA" w:rsidRDefault="001A34AA" w:rsidP="007C3A73">
            <w:pPr>
              <w:rPr>
                <w:rFonts w:cs="Arial"/>
              </w:rPr>
            </w:pPr>
          </w:p>
          <w:p w14:paraId="01357ED5" w14:textId="508B8A97" w:rsidR="00D60950" w:rsidRDefault="00451BD1" w:rsidP="007C3A73">
            <w:pPr>
              <w:rPr>
                <w:rFonts w:cs="Arial"/>
              </w:rPr>
            </w:pPr>
            <w:r>
              <w:rPr>
                <w:rFonts w:cs="Arial"/>
              </w:rPr>
              <w:t>In dieser Situation kamen die Euro</w:t>
            </w:r>
            <w:r w:rsidR="007B56AD">
              <w:rPr>
                <w:rFonts w:cs="Arial"/>
              </w:rPr>
              <w:t>-Mitgliedsländer</w:t>
            </w:r>
            <w:r>
              <w:rPr>
                <w:rFonts w:cs="Arial"/>
              </w:rPr>
              <w:t xml:space="preserve"> ihren </w:t>
            </w:r>
            <w:r w:rsidR="00C76F6F">
              <w:rPr>
                <w:rFonts w:cs="Arial"/>
              </w:rPr>
              <w:t xml:space="preserve">kriselnden </w:t>
            </w:r>
            <w:r>
              <w:rPr>
                <w:rFonts w:cs="Arial"/>
              </w:rPr>
              <w:t xml:space="preserve">Banken zu Hilfe, indem sie durch Kapitalbeteiligungen, Verstaatlichungen, </w:t>
            </w:r>
            <w:r w:rsidR="004A42C5">
              <w:rPr>
                <w:rFonts w:cs="Arial"/>
              </w:rPr>
              <w:t xml:space="preserve">die </w:t>
            </w:r>
            <w:r>
              <w:rPr>
                <w:rFonts w:cs="Arial"/>
              </w:rPr>
              <w:t xml:space="preserve">Einrichtung von Bad Banks für notleidende Aktiva und </w:t>
            </w:r>
            <w:r w:rsidR="00EE5DA3">
              <w:rPr>
                <w:rFonts w:cs="Arial"/>
              </w:rPr>
              <w:t>weitere</w:t>
            </w:r>
            <w:r>
              <w:rPr>
                <w:rFonts w:cs="Arial"/>
              </w:rPr>
              <w:t xml:space="preserve"> Maßnahmen das Bankensystem vor einem Zusammenbruch retteten.</w:t>
            </w:r>
          </w:p>
          <w:p w14:paraId="4BBC791C" w14:textId="77A91809" w:rsidR="00C76F6F" w:rsidRDefault="00C76F6F" w:rsidP="007C3A73">
            <w:pPr>
              <w:rPr>
                <w:rFonts w:cs="Arial"/>
              </w:rPr>
            </w:pPr>
          </w:p>
          <w:p w14:paraId="752006B5" w14:textId="0514EB64" w:rsidR="00562DD1" w:rsidRDefault="00C76F6F" w:rsidP="007C3A73">
            <w:pPr>
              <w:rPr>
                <w:rFonts w:cs="Arial"/>
              </w:rPr>
            </w:pPr>
            <w:r>
              <w:rPr>
                <w:rFonts w:cs="Arial"/>
              </w:rPr>
              <w:t xml:space="preserve">Gleichzeitig begann die </w:t>
            </w:r>
            <w:r w:rsidR="00EE05C1">
              <w:rPr>
                <w:rFonts w:cs="Arial"/>
              </w:rPr>
              <w:t>EZB</w:t>
            </w:r>
            <w:r>
              <w:rPr>
                <w:rFonts w:cs="Arial"/>
              </w:rPr>
              <w:t xml:space="preserve"> damit, d</w:t>
            </w:r>
            <w:r w:rsidR="00BD7BDE">
              <w:rPr>
                <w:rFonts w:cs="Arial"/>
              </w:rPr>
              <w:t>en</w:t>
            </w:r>
            <w:r>
              <w:rPr>
                <w:rFonts w:cs="Arial"/>
              </w:rPr>
              <w:t xml:space="preserve"> </w:t>
            </w:r>
            <w:r w:rsidR="00D60950">
              <w:rPr>
                <w:rFonts w:cs="Arial"/>
              </w:rPr>
              <w:t xml:space="preserve">Geschäftsbanken und den </w:t>
            </w:r>
            <w:r>
              <w:rPr>
                <w:rFonts w:cs="Arial"/>
              </w:rPr>
              <w:t>mit der Bankenrettung belasteten Euro</w:t>
            </w:r>
            <w:r w:rsidR="00911CF4">
              <w:rPr>
                <w:rFonts w:cs="Arial"/>
              </w:rPr>
              <w:t>s</w:t>
            </w:r>
            <w:r>
              <w:rPr>
                <w:rFonts w:cs="Arial"/>
              </w:rPr>
              <w:t xml:space="preserve">taaten durch eine Neuausrichtung ihrer Geldpolitik zu helfen. </w:t>
            </w:r>
            <w:r w:rsidR="00EE05C1">
              <w:rPr>
                <w:rFonts w:cs="Arial"/>
              </w:rPr>
              <w:t xml:space="preserve">Mit der Bereitstellung gigantischer Mengen an frischem </w:t>
            </w:r>
            <w:r w:rsidR="004A42C5">
              <w:rPr>
                <w:rFonts w:cs="Arial"/>
              </w:rPr>
              <w:t>Zentralbankg</w:t>
            </w:r>
            <w:r w:rsidR="00EE05C1">
              <w:rPr>
                <w:rFonts w:cs="Arial"/>
              </w:rPr>
              <w:t xml:space="preserve">eld konnte der </w:t>
            </w:r>
            <w:r w:rsidR="00842982">
              <w:rPr>
                <w:rFonts w:cs="Arial"/>
              </w:rPr>
              <w:t>„</w:t>
            </w:r>
            <w:r w:rsidR="00EE05C1">
              <w:rPr>
                <w:rFonts w:cs="Arial"/>
              </w:rPr>
              <w:t>Schuldenturm</w:t>
            </w:r>
            <w:r w:rsidR="00842982">
              <w:rPr>
                <w:rFonts w:cs="Arial"/>
              </w:rPr>
              <w:t>“</w:t>
            </w:r>
            <w:r w:rsidR="00EE05C1">
              <w:rPr>
                <w:rFonts w:cs="Arial"/>
              </w:rPr>
              <w:t xml:space="preserve"> in den Krisenstaaten stabilisiert und vor dem Einsturz bewahrt werden. </w:t>
            </w:r>
            <w:r w:rsidR="00562DD1">
              <w:rPr>
                <w:rFonts w:cs="Arial"/>
              </w:rPr>
              <w:t xml:space="preserve">Dadurch </w:t>
            </w:r>
            <w:r w:rsidR="00EE32C9">
              <w:rPr>
                <w:rFonts w:cs="Arial"/>
              </w:rPr>
              <w:t xml:space="preserve">hat </w:t>
            </w:r>
            <w:r w:rsidR="00562DD1">
              <w:rPr>
                <w:rFonts w:cs="Arial"/>
              </w:rPr>
              <w:t xml:space="preserve">sich die </w:t>
            </w:r>
            <w:r w:rsidR="00EE32C9">
              <w:rPr>
                <w:rFonts w:cs="Arial"/>
              </w:rPr>
              <w:t xml:space="preserve">gesamte Geldmenge im Euroraum </w:t>
            </w:r>
            <w:r w:rsidR="004A42C5">
              <w:rPr>
                <w:rFonts w:cs="Arial"/>
              </w:rPr>
              <w:t xml:space="preserve">(M0 + M3) </w:t>
            </w:r>
            <w:r w:rsidR="00EE32C9">
              <w:rPr>
                <w:rFonts w:cs="Arial"/>
              </w:rPr>
              <w:t xml:space="preserve">stark erhöht und damit die Auswirkungen der beträchtlichen </w:t>
            </w:r>
            <w:r w:rsidR="00C16AE8">
              <w:rPr>
                <w:rFonts w:cs="Arial"/>
              </w:rPr>
              <w:t>Buch</w:t>
            </w:r>
            <w:r w:rsidR="00EE32C9">
              <w:rPr>
                <w:rFonts w:cs="Arial"/>
              </w:rPr>
              <w:t xml:space="preserve">geldschöpfung durch die Geschäftsbanken deutlich </w:t>
            </w:r>
            <w:proofErr w:type="gramStart"/>
            <w:r w:rsidR="00EE32C9">
              <w:rPr>
                <w:rFonts w:cs="Arial"/>
              </w:rPr>
              <w:t>verstärkt.</w:t>
            </w:r>
            <w:r w:rsidR="009F63E8">
              <w:rPr>
                <w:rFonts w:cs="Arial"/>
              </w:rPr>
              <w:t>*</w:t>
            </w:r>
            <w:proofErr w:type="gramEnd"/>
          </w:p>
          <w:p w14:paraId="1CA83774" w14:textId="77777777" w:rsidR="00580AB8" w:rsidRDefault="00580AB8" w:rsidP="007C3A73">
            <w:pPr>
              <w:rPr>
                <w:rFonts w:cs="Arial"/>
              </w:rPr>
            </w:pPr>
          </w:p>
          <w:p w14:paraId="518356B8" w14:textId="1E46C960" w:rsidR="000C133D" w:rsidRDefault="00EE5DA3" w:rsidP="007C3A73">
            <w:pPr>
              <w:rPr>
                <w:rFonts w:cs="Arial"/>
              </w:rPr>
            </w:pPr>
            <w:r>
              <w:rPr>
                <w:rFonts w:cs="Arial"/>
              </w:rPr>
              <w:lastRenderedPageBreak/>
              <w:t>Die</w:t>
            </w:r>
            <w:r w:rsidR="00FB3DA7">
              <w:rPr>
                <w:rFonts w:cs="Arial"/>
              </w:rPr>
              <w:t xml:space="preserve"> </w:t>
            </w:r>
            <w:r w:rsidR="00703A1C">
              <w:rPr>
                <w:rFonts w:cs="Arial"/>
              </w:rPr>
              <w:t>nach dem Jahr 2008 zunehmend</w:t>
            </w:r>
            <w:r w:rsidR="00FB3DA7">
              <w:rPr>
                <w:rFonts w:cs="Arial"/>
              </w:rPr>
              <w:t xml:space="preserve"> </w:t>
            </w:r>
            <w:r>
              <w:rPr>
                <w:rFonts w:cs="Arial"/>
              </w:rPr>
              <w:t>stärker wachsende</w:t>
            </w:r>
            <w:r w:rsidR="00FB3DA7">
              <w:rPr>
                <w:rFonts w:cs="Arial"/>
              </w:rPr>
              <w:t xml:space="preserve"> Geldmenge </w:t>
            </w:r>
            <w:r w:rsidR="00702268">
              <w:rPr>
                <w:rFonts w:cs="Arial"/>
              </w:rPr>
              <w:t xml:space="preserve">(Verschuldung) </w:t>
            </w:r>
            <w:r>
              <w:rPr>
                <w:rFonts w:cs="Arial"/>
              </w:rPr>
              <w:t xml:space="preserve">im Euroraum </w:t>
            </w:r>
            <w:r w:rsidR="00FB3DA7">
              <w:rPr>
                <w:rFonts w:cs="Arial"/>
              </w:rPr>
              <w:t>führt</w:t>
            </w:r>
            <w:r w:rsidR="00352087">
              <w:rPr>
                <w:rFonts w:cs="Arial"/>
              </w:rPr>
              <w:t xml:space="preserve"> unter anderem</w:t>
            </w:r>
            <w:r w:rsidR="00FB3DA7">
              <w:rPr>
                <w:rFonts w:cs="Arial"/>
              </w:rPr>
              <w:t xml:space="preserve"> zu folgenden </w:t>
            </w:r>
            <w:r>
              <w:rPr>
                <w:rFonts w:cs="Arial"/>
              </w:rPr>
              <w:t>Auswirkungen</w:t>
            </w:r>
            <w:r w:rsidR="00FB3DA7">
              <w:rPr>
                <w:rFonts w:cs="Arial"/>
              </w:rPr>
              <w:t>:</w:t>
            </w:r>
          </w:p>
          <w:p w14:paraId="47B84968" w14:textId="77777777" w:rsidR="00FB3DA7" w:rsidRDefault="00FB3DA7" w:rsidP="007C3A73">
            <w:pPr>
              <w:rPr>
                <w:rFonts w:cs="Arial"/>
              </w:rPr>
            </w:pPr>
          </w:p>
          <w:p w14:paraId="01C2C6DA" w14:textId="49F7CEE0" w:rsidR="00FB3DA7" w:rsidRDefault="00702268" w:rsidP="00F175CF">
            <w:pPr>
              <w:pStyle w:val="Listenabsatz"/>
              <w:numPr>
                <w:ilvl w:val="0"/>
                <w:numId w:val="9"/>
              </w:numPr>
              <w:ind w:left="454" w:hanging="283"/>
              <w:rPr>
                <w:rFonts w:cs="Arial"/>
              </w:rPr>
            </w:pPr>
            <w:r>
              <w:rPr>
                <w:rFonts w:cs="Arial"/>
              </w:rPr>
              <w:t>Anfänglich steigen die</w:t>
            </w:r>
            <w:r w:rsidR="00FB3DA7">
              <w:rPr>
                <w:rFonts w:cs="Arial"/>
              </w:rPr>
              <w:t xml:space="preserve"> gesamtwirtschaftliche Nachfrage (Konsum, Investitionen) sowie d</w:t>
            </w:r>
            <w:r>
              <w:rPr>
                <w:rFonts w:cs="Arial"/>
              </w:rPr>
              <w:t>a</w:t>
            </w:r>
            <w:r w:rsidR="00FB3DA7">
              <w:rPr>
                <w:rFonts w:cs="Arial"/>
              </w:rPr>
              <w:t>s Wirtschaftswachstum und d</w:t>
            </w:r>
            <w:r>
              <w:rPr>
                <w:rFonts w:cs="Arial"/>
              </w:rPr>
              <w:t>ie</w:t>
            </w:r>
            <w:r w:rsidR="00FB3DA7">
              <w:rPr>
                <w:rFonts w:cs="Arial"/>
              </w:rPr>
              <w:t xml:space="preserve"> Unternehmensgewinne</w:t>
            </w:r>
            <w:r>
              <w:rPr>
                <w:rFonts w:cs="Arial"/>
              </w:rPr>
              <w:t xml:space="preserve"> an.</w:t>
            </w:r>
          </w:p>
          <w:p w14:paraId="1D9CEC87" w14:textId="03A2063C" w:rsidR="00EE5DA3" w:rsidRDefault="00702268" w:rsidP="00F175CF">
            <w:pPr>
              <w:pStyle w:val="Listenabsatz"/>
              <w:numPr>
                <w:ilvl w:val="0"/>
                <w:numId w:val="9"/>
              </w:numPr>
              <w:ind w:left="454" w:hanging="283"/>
              <w:rPr>
                <w:rFonts w:cs="Arial"/>
              </w:rPr>
            </w:pPr>
            <w:r>
              <w:rPr>
                <w:rFonts w:cs="Arial"/>
              </w:rPr>
              <w:t>Gleichzeitig steig</w:t>
            </w:r>
            <w:r w:rsidR="00A16751">
              <w:rPr>
                <w:rFonts w:cs="Arial"/>
              </w:rPr>
              <w:t>en</w:t>
            </w:r>
            <w:r>
              <w:rPr>
                <w:rFonts w:cs="Arial"/>
              </w:rPr>
              <w:t xml:space="preserve"> auch die</w:t>
            </w:r>
            <w:r w:rsidR="00EE5DA3">
              <w:rPr>
                <w:rFonts w:cs="Arial"/>
              </w:rPr>
              <w:t xml:space="preserve"> Nachfrage nach Vermögenswerten (Immobilien, Aktien)</w:t>
            </w:r>
            <w:r>
              <w:rPr>
                <w:rFonts w:cs="Arial"/>
              </w:rPr>
              <w:t xml:space="preserve"> und deren Preise </w:t>
            </w:r>
            <w:r w:rsidR="00A16751">
              <w:rPr>
                <w:rFonts w:cs="Arial"/>
              </w:rPr>
              <w:t xml:space="preserve">stark </w:t>
            </w:r>
            <w:r>
              <w:rPr>
                <w:rFonts w:cs="Arial"/>
              </w:rPr>
              <w:t>an</w:t>
            </w:r>
            <w:r w:rsidR="00A16751">
              <w:rPr>
                <w:rFonts w:cs="Arial"/>
              </w:rPr>
              <w:t xml:space="preserve"> („Vermögenspreisinflation“)</w:t>
            </w:r>
            <w:r>
              <w:rPr>
                <w:rFonts w:cs="Arial"/>
              </w:rPr>
              <w:t>.</w:t>
            </w:r>
          </w:p>
          <w:p w14:paraId="4970FDF7" w14:textId="4463A0D0" w:rsidR="003D6B4E" w:rsidRDefault="00702268" w:rsidP="00F175CF">
            <w:pPr>
              <w:pStyle w:val="Listenabsatz"/>
              <w:numPr>
                <w:ilvl w:val="0"/>
                <w:numId w:val="9"/>
              </w:numPr>
              <w:ind w:left="454" w:hanging="283"/>
              <w:rPr>
                <w:rFonts w:cs="Arial"/>
              </w:rPr>
            </w:pPr>
            <w:r>
              <w:rPr>
                <w:rFonts w:cs="Arial"/>
              </w:rPr>
              <w:t>Aufgrund</w:t>
            </w:r>
            <w:r w:rsidR="00A62F11" w:rsidRPr="00FB3DA7">
              <w:rPr>
                <w:rFonts w:cs="Arial"/>
              </w:rPr>
              <w:t xml:space="preserve"> der </w:t>
            </w:r>
            <w:r>
              <w:rPr>
                <w:rFonts w:cs="Arial"/>
              </w:rPr>
              <w:t xml:space="preserve">höheren </w:t>
            </w:r>
            <w:r w:rsidR="00A62F11" w:rsidRPr="00FB3DA7">
              <w:rPr>
                <w:rFonts w:cs="Arial"/>
              </w:rPr>
              <w:t>Vermögenspreise</w:t>
            </w:r>
            <w:r w:rsidR="003D6B4E">
              <w:rPr>
                <w:rFonts w:cs="Arial"/>
              </w:rPr>
              <w:t xml:space="preserve"> </w:t>
            </w:r>
            <w:r>
              <w:rPr>
                <w:rFonts w:cs="Arial"/>
              </w:rPr>
              <w:t>nimmt das</w:t>
            </w:r>
            <w:r w:rsidR="003D6B4E">
              <w:rPr>
                <w:rFonts w:cs="Arial"/>
              </w:rPr>
              <w:t xml:space="preserve"> Vermögen der privaten Haushalte</w:t>
            </w:r>
            <w:r>
              <w:rPr>
                <w:rFonts w:cs="Arial"/>
              </w:rPr>
              <w:t xml:space="preserve"> zu</w:t>
            </w:r>
            <w:r w:rsidR="003D6B4E">
              <w:rPr>
                <w:rFonts w:cs="Arial"/>
              </w:rPr>
              <w:t xml:space="preserve">. Dadurch </w:t>
            </w:r>
            <w:r>
              <w:rPr>
                <w:rFonts w:cs="Arial"/>
              </w:rPr>
              <w:t xml:space="preserve">haben sie </w:t>
            </w:r>
            <w:r w:rsidR="003D6B4E">
              <w:rPr>
                <w:rFonts w:cs="Arial"/>
              </w:rPr>
              <w:t xml:space="preserve">die Möglichkeit </w:t>
            </w:r>
            <w:r>
              <w:rPr>
                <w:rFonts w:cs="Arial"/>
              </w:rPr>
              <w:t>mehr zu konsumieren und auf diese Weise zum Wachstum der</w:t>
            </w:r>
            <w:r w:rsidR="003D6B4E">
              <w:rPr>
                <w:rFonts w:cs="Arial"/>
              </w:rPr>
              <w:t xml:space="preserve"> Wirtschaft </w:t>
            </w:r>
            <w:r w:rsidR="00B81A57">
              <w:rPr>
                <w:rFonts w:cs="Arial"/>
              </w:rPr>
              <w:t>beizutragen</w:t>
            </w:r>
            <w:r>
              <w:rPr>
                <w:rFonts w:cs="Arial"/>
              </w:rPr>
              <w:t>.</w:t>
            </w:r>
          </w:p>
          <w:p w14:paraId="3D1D16B7" w14:textId="2B6FB261" w:rsidR="0051566F" w:rsidRPr="0051566F" w:rsidRDefault="0051566F" w:rsidP="00F175CF">
            <w:pPr>
              <w:pStyle w:val="Listenabsatz"/>
              <w:numPr>
                <w:ilvl w:val="0"/>
                <w:numId w:val="9"/>
              </w:numPr>
              <w:ind w:left="454" w:hanging="283"/>
              <w:rPr>
                <w:rFonts w:cs="Arial"/>
              </w:rPr>
            </w:pPr>
            <w:r w:rsidRPr="00B81A57">
              <w:rPr>
                <w:rFonts w:cs="Arial"/>
              </w:rPr>
              <w:t>Die Vermögensungleichheit in der Bevölkerung wächst: Besitzer</w:t>
            </w:r>
            <w:r w:rsidR="005D72C8">
              <w:rPr>
                <w:rFonts w:cs="Arial"/>
              </w:rPr>
              <w:t>innen und Besitzer</w:t>
            </w:r>
            <w:r w:rsidRPr="00B81A57">
              <w:rPr>
                <w:rFonts w:cs="Arial"/>
              </w:rPr>
              <w:t xml:space="preserve"> von Immobilien, Aktien und anderer Sachwerte profitieren von der Wertentwicklung. Gleichzeitig </w:t>
            </w:r>
            <w:r>
              <w:rPr>
                <w:rFonts w:cs="Arial"/>
              </w:rPr>
              <w:t xml:space="preserve">führen </w:t>
            </w:r>
            <w:r w:rsidR="00EF5C27">
              <w:rPr>
                <w:rFonts w:cs="Arial"/>
              </w:rPr>
              <w:t>rekordtiefe Marktzinssätze</w:t>
            </w:r>
            <w:r>
              <w:rPr>
                <w:rFonts w:cs="Arial"/>
              </w:rPr>
              <w:t xml:space="preserve">, die für die Schuldentragfähigkeit vieler Eurostaaten notwendig sind, </w:t>
            </w:r>
            <w:r w:rsidRPr="00B81A57">
              <w:rPr>
                <w:rFonts w:cs="Arial"/>
              </w:rPr>
              <w:t xml:space="preserve">zu negativen Realzinsen für </w:t>
            </w:r>
            <w:r w:rsidR="005D72C8">
              <w:rPr>
                <w:rFonts w:cs="Arial"/>
              </w:rPr>
              <w:t xml:space="preserve">Sparerinnen und </w:t>
            </w:r>
            <w:r w:rsidRPr="00B81A57">
              <w:rPr>
                <w:rFonts w:cs="Arial"/>
              </w:rPr>
              <w:t>Sparer</w:t>
            </w:r>
            <w:r>
              <w:rPr>
                <w:rFonts w:cs="Arial"/>
              </w:rPr>
              <w:t xml:space="preserve"> und zu Verlusten bei </w:t>
            </w:r>
            <w:r w:rsidRPr="00B81A57">
              <w:rPr>
                <w:rFonts w:cs="Arial"/>
              </w:rPr>
              <w:t>der privaten Altersvorsorge</w:t>
            </w:r>
            <w:r w:rsidR="00793A69">
              <w:rPr>
                <w:rFonts w:cs="Arial"/>
              </w:rPr>
              <w:t>.</w:t>
            </w:r>
          </w:p>
          <w:p w14:paraId="3D8AB730" w14:textId="77777777" w:rsidR="00054C3E" w:rsidRDefault="00054C3E" w:rsidP="00F175CF">
            <w:pPr>
              <w:pStyle w:val="Listenabsatz"/>
              <w:numPr>
                <w:ilvl w:val="0"/>
                <w:numId w:val="9"/>
              </w:numPr>
              <w:ind w:left="454" w:hanging="283"/>
              <w:rPr>
                <w:rFonts w:cs="Arial"/>
              </w:rPr>
            </w:pPr>
            <w:r>
              <w:rPr>
                <w:rFonts w:cs="Arial"/>
              </w:rPr>
              <w:t xml:space="preserve">Die Bekämpfung der realwirtschaftlichen Probleme durch eine Ausweitung der Geldmenge führt dazu, dass die Bereinigung der Wirtschaft durch eine Rezession ausbleibt. Der Strukturwandel wird verlangsamt oder verhindert. Nicht wettbewerbsfähige Unternehmen bleiben am Markt </w:t>
            </w:r>
            <w:r w:rsidRPr="00FB3DA7">
              <w:rPr>
                <w:rFonts w:cs="Arial"/>
              </w:rPr>
              <w:t>(„</w:t>
            </w:r>
            <w:proofErr w:type="spellStart"/>
            <w:r w:rsidRPr="00FB3DA7">
              <w:rPr>
                <w:rFonts w:cs="Arial"/>
              </w:rPr>
              <w:t>Zombifizierung</w:t>
            </w:r>
            <w:proofErr w:type="spellEnd"/>
            <w:r>
              <w:rPr>
                <w:rFonts w:cs="Arial"/>
              </w:rPr>
              <w:t xml:space="preserve"> der Wirtschaft</w:t>
            </w:r>
            <w:r w:rsidRPr="00FB3DA7">
              <w:rPr>
                <w:rFonts w:cs="Arial"/>
              </w:rPr>
              <w:t>“)</w:t>
            </w:r>
            <w:r>
              <w:rPr>
                <w:rFonts w:cs="Arial"/>
              </w:rPr>
              <w:t>.</w:t>
            </w:r>
          </w:p>
          <w:p w14:paraId="0DA28215" w14:textId="583AA1B3" w:rsidR="00054C3E" w:rsidRPr="00842982" w:rsidRDefault="00054C3E" w:rsidP="00F175CF">
            <w:pPr>
              <w:pStyle w:val="Listenabsatz"/>
              <w:numPr>
                <w:ilvl w:val="0"/>
                <w:numId w:val="9"/>
              </w:numPr>
              <w:ind w:left="454" w:hanging="283"/>
              <w:rPr>
                <w:rFonts w:cs="Arial"/>
              </w:rPr>
            </w:pPr>
            <w:r w:rsidRPr="00842982">
              <w:rPr>
                <w:rFonts w:cs="Arial"/>
              </w:rPr>
              <w:t>Neue Schulden lösen ein immer geringeres reales Wachstum aus, da die Ressourcen (Kapital, Mitarbeiter</w:t>
            </w:r>
            <w:r w:rsidR="005D72C8">
              <w:rPr>
                <w:rFonts w:cs="Arial"/>
              </w:rPr>
              <w:t>innen und Mitarbeiter</w:t>
            </w:r>
            <w:r w:rsidRPr="00842982">
              <w:rPr>
                <w:rFonts w:cs="Arial"/>
              </w:rPr>
              <w:t xml:space="preserve">) aufgrund der fehlenden Bereinigung der Wirtschaft in unproduktiven Verwendungen gehalten werden. </w:t>
            </w:r>
            <w:r>
              <w:rPr>
                <w:rFonts w:cs="Arial"/>
              </w:rPr>
              <w:t xml:space="preserve">Auf diese Weise wird </w:t>
            </w:r>
            <w:r w:rsidRPr="00842982">
              <w:rPr>
                <w:rFonts w:cs="Arial"/>
              </w:rPr>
              <w:t xml:space="preserve">zwar </w:t>
            </w:r>
            <w:r>
              <w:rPr>
                <w:rFonts w:cs="Arial"/>
              </w:rPr>
              <w:t>„</w:t>
            </w:r>
            <w:r w:rsidRPr="00842982">
              <w:rPr>
                <w:rFonts w:cs="Arial"/>
              </w:rPr>
              <w:t>Zeit</w:t>
            </w:r>
            <w:r>
              <w:rPr>
                <w:rFonts w:cs="Arial"/>
              </w:rPr>
              <w:t xml:space="preserve"> gekauft“</w:t>
            </w:r>
            <w:r w:rsidRPr="00842982">
              <w:rPr>
                <w:rFonts w:cs="Arial"/>
              </w:rPr>
              <w:t>, aber das Problem der fehlenden Wettbewerbsfähigkeit nicht</w:t>
            </w:r>
            <w:r>
              <w:rPr>
                <w:rFonts w:cs="Arial"/>
              </w:rPr>
              <w:t xml:space="preserve"> gelöst</w:t>
            </w:r>
            <w:r w:rsidRPr="00842982">
              <w:rPr>
                <w:rFonts w:cs="Arial"/>
              </w:rPr>
              <w:t>.</w:t>
            </w:r>
            <w:r>
              <w:rPr>
                <w:rFonts w:cs="Arial"/>
              </w:rPr>
              <w:t xml:space="preserve"> Die Investitionsneigung und damit die Dynamik der Wirtschaftsentwicklung </w:t>
            </w:r>
            <w:r w:rsidR="00911CF4">
              <w:rPr>
                <w:rFonts w:cs="Arial"/>
              </w:rPr>
              <w:t>lassen</w:t>
            </w:r>
            <w:r>
              <w:rPr>
                <w:rFonts w:cs="Arial"/>
              </w:rPr>
              <w:t xml:space="preserve"> immer mehr nach.</w:t>
            </w:r>
          </w:p>
          <w:p w14:paraId="4804E95D" w14:textId="051E6605" w:rsidR="00F455E2" w:rsidRPr="00FB3DA7" w:rsidRDefault="00F455E2" w:rsidP="00F175CF">
            <w:pPr>
              <w:pStyle w:val="Listenabsatz"/>
              <w:numPr>
                <w:ilvl w:val="0"/>
                <w:numId w:val="9"/>
              </w:numPr>
              <w:ind w:left="454" w:hanging="283"/>
              <w:rPr>
                <w:rFonts w:cs="Arial"/>
              </w:rPr>
            </w:pPr>
            <w:r>
              <w:rPr>
                <w:rFonts w:cs="Arial"/>
              </w:rPr>
              <w:t>D</w:t>
            </w:r>
            <w:r w:rsidR="00054C3E">
              <w:rPr>
                <w:rFonts w:cs="Arial"/>
              </w:rPr>
              <w:t xml:space="preserve">er </w:t>
            </w:r>
            <w:r>
              <w:rPr>
                <w:rFonts w:cs="Arial"/>
              </w:rPr>
              <w:t>Vermögenspreisanstieg infolge de</w:t>
            </w:r>
            <w:r w:rsidR="00054C3E">
              <w:rPr>
                <w:rFonts w:cs="Arial"/>
              </w:rPr>
              <w:t>r extrem starken</w:t>
            </w:r>
            <w:r>
              <w:rPr>
                <w:rFonts w:cs="Arial"/>
              </w:rPr>
              <w:t xml:space="preserve"> Geldmengen</w:t>
            </w:r>
            <w:r w:rsidR="00054C3E">
              <w:rPr>
                <w:rFonts w:cs="Arial"/>
              </w:rPr>
              <w:t>ausdehnung</w:t>
            </w:r>
            <w:r>
              <w:rPr>
                <w:rFonts w:cs="Arial"/>
              </w:rPr>
              <w:t xml:space="preserve"> bei gleichzeitiger schwächerer Wirtschaftsentwicklung im Euroraum führt zu einer </w:t>
            </w:r>
            <w:r w:rsidR="00054C3E">
              <w:rPr>
                <w:rFonts w:cs="Arial"/>
              </w:rPr>
              <w:t xml:space="preserve">Umverteilung zugunsten der Vermögenden sowie einer </w:t>
            </w:r>
            <w:r>
              <w:rPr>
                <w:rFonts w:cs="Arial"/>
              </w:rPr>
              <w:t xml:space="preserve">Zunahme der Unzufriedenheit </w:t>
            </w:r>
            <w:r w:rsidR="00054C3E">
              <w:rPr>
                <w:rFonts w:cs="Arial"/>
              </w:rPr>
              <w:t xml:space="preserve">und der Verteilungskonflikte </w:t>
            </w:r>
            <w:r>
              <w:rPr>
                <w:rFonts w:cs="Arial"/>
              </w:rPr>
              <w:t>in der Bevölkerung.</w:t>
            </w:r>
          </w:p>
          <w:p w14:paraId="2A188B7B" w14:textId="76EA81CE" w:rsidR="00A62F11" w:rsidRPr="00B81A57" w:rsidRDefault="00E16EF8" w:rsidP="00F175CF">
            <w:pPr>
              <w:pStyle w:val="Listenabsatz"/>
              <w:numPr>
                <w:ilvl w:val="0"/>
                <w:numId w:val="9"/>
              </w:numPr>
              <w:ind w:left="454" w:hanging="283"/>
              <w:rPr>
                <w:rFonts w:cs="Arial"/>
              </w:rPr>
            </w:pPr>
            <w:r w:rsidRPr="00B81A57">
              <w:rPr>
                <w:rFonts w:cs="Arial"/>
              </w:rPr>
              <w:t>D</w:t>
            </w:r>
            <w:r w:rsidR="00EF5C27">
              <w:rPr>
                <w:rFonts w:cs="Arial"/>
              </w:rPr>
              <w:t>as</w:t>
            </w:r>
            <w:r w:rsidRPr="00B81A57">
              <w:rPr>
                <w:rFonts w:cs="Arial"/>
              </w:rPr>
              <w:t xml:space="preserve"> </w:t>
            </w:r>
            <w:r w:rsidR="00EF5C27">
              <w:rPr>
                <w:rFonts w:cs="Arial"/>
              </w:rPr>
              <w:t>extrem niedrige</w:t>
            </w:r>
            <w:r w:rsidRPr="00B81A57">
              <w:rPr>
                <w:rFonts w:cs="Arial"/>
              </w:rPr>
              <w:t xml:space="preserve"> Zins</w:t>
            </w:r>
            <w:r w:rsidR="00EF5C27">
              <w:rPr>
                <w:rFonts w:cs="Arial"/>
              </w:rPr>
              <w:t>niveau</w:t>
            </w:r>
            <w:r w:rsidRPr="00B81A57">
              <w:rPr>
                <w:rFonts w:cs="Arial"/>
              </w:rPr>
              <w:t xml:space="preserve"> erhöh</w:t>
            </w:r>
            <w:r w:rsidR="00EF5C27">
              <w:rPr>
                <w:rFonts w:cs="Arial"/>
              </w:rPr>
              <w:t>t</w:t>
            </w:r>
            <w:r w:rsidRPr="00B81A57">
              <w:rPr>
                <w:rFonts w:cs="Arial"/>
              </w:rPr>
              <w:t xml:space="preserve"> die</w:t>
            </w:r>
            <w:r w:rsidR="00A62F11" w:rsidRPr="00B81A57">
              <w:rPr>
                <w:rFonts w:cs="Arial"/>
              </w:rPr>
              <w:t xml:space="preserve"> Anreize für Spekulation und </w:t>
            </w:r>
            <w:r w:rsidRPr="00B81A57">
              <w:rPr>
                <w:rFonts w:cs="Arial"/>
              </w:rPr>
              <w:t xml:space="preserve">zusätzliche </w:t>
            </w:r>
            <w:r w:rsidR="00A62F11" w:rsidRPr="00B81A57">
              <w:rPr>
                <w:rFonts w:cs="Arial"/>
              </w:rPr>
              <w:t>Verschuldung</w:t>
            </w:r>
            <w:r w:rsidRPr="00B81A57">
              <w:rPr>
                <w:rFonts w:cs="Arial"/>
              </w:rPr>
              <w:t>.</w:t>
            </w:r>
            <w:r w:rsidR="00B81A57" w:rsidRPr="00B81A57">
              <w:rPr>
                <w:rFonts w:cs="Arial"/>
              </w:rPr>
              <w:t xml:space="preserve"> Für die Staaten im Euroraum sinken die Anreize zur Haushaltsdisziplin.</w:t>
            </w:r>
            <w:r w:rsidR="00D8443D">
              <w:rPr>
                <w:rFonts w:cs="Arial"/>
              </w:rPr>
              <w:t xml:space="preserve"> Die Schuldenquoten der meisten Euro-Mitgliedsländer liegen heute </w:t>
            </w:r>
            <w:r w:rsidR="00E06121">
              <w:rPr>
                <w:rFonts w:cs="Arial"/>
              </w:rPr>
              <w:t>auf Rekordniveau.</w:t>
            </w:r>
          </w:p>
          <w:p w14:paraId="65CE6005" w14:textId="7CA84A4A" w:rsidR="00B81A57" w:rsidRDefault="00842982" w:rsidP="00F175CF">
            <w:pPr>
              <w:pStyle w:val="Listenabsatz"/>
              <w:numPr>
                <w:ilvl w:val="0"/>
                <w:numId w:val="9"/>
              </w:numPr>
              <w:ind w:left="454" w:hanging="283"/>
              <w:rPr>
                <w:rFonts w:cs="Arial"/>
              </w:rPr>
            </w:pPr>
            <w:r>
              <w:rPr>
                <w:rFonts w:cs="Arial"/>
              </w:rPr>
              <w:t>Die i</w:t>
            </w:r>
            <w:r w:rsidR="00B81A57" w:rsidRPr="00FB3DA7">
              <w:rPr>
                <w:rFonts w:cs="Arial"/>
              </w:rPr>
              <w:t>mmer höhere</w:t>
            </w:r>
            <w:r>
              <w:rPr>
                <w:rFonts w:cs="Arial"/>
              </w:rPr>
              <w:t>n</w:t>
            </w:r>
            <w:r w:rsidR="00B81A57" w:rsidRPr="00FB3DA7">
              <w:rPr>
                <w:rFonts w:cs="Arial"/>
              </w:rPr>
              <w:t xml:space="preserve"> Schuldenquoten</w:t>
            </w:r>
            <w:r>
              <w:rPr>
                <w:rFonts w:cs="Arial"/>
              </w:rPr>
              <w:t xml:space="preserve"> zwingen die EZB zunehmend</w:t>
            </w:r>
            <w:r w:rsidR="00B81A57" w:rsidRPr="00FB3DA7">
              <w:rPr>
                <w:rFonts w:cs="Arial"/>
              </w:rPr>
              <w:t xml:space="preserve">, </w:t>
            </w:r>
            <w:r w:rsidR="000E2293">
              <w:rPr>
                <w:rFonts w:cs="Arial"/>
              </w:rPr>
              <w:t xml:space="preserve">ihre Geldpolitik nach den </w:t>
            </w:r>
            <w:r w:rsidR="004E41FB">
              <w:rPr>
                <w:rFonts w:cs="Arial"/>
              </w:rPr>
              <w:t>fiskalischen</w:t>
            </w:r>
            <w:r w:rsidR="000E2293">
              <w:rPr>
                <w:rFonts w:cs="Arial"/>
              </w:rPr>
              <w:t xml:space="preserve"> Bedürfnissen der Eurostaaten auszurichten</w:t>
            </w:r>
            <w:r w:rsidR="00B81A57" w:rsidRPr="00FB3DA7">
              <w:rPr>
                <w:rFonts w:cs="Arial"/>
              </w:rPr>
              <w:t xml:space="preserve"> (</w:t>
            </w:r>
            <w:r w:rsidR="000E2293">
              <w:rPr>
                <w:rFonts w:cs="Arial"/>
              </w:rPr>
              <w:t>„</w:t>
            </w:r>
            <w:r w:rsidR="00B81A57" w:rsidRPr="00FB3DA7">
              <w:rPr>
                <w:rFonts w:cs="Arial"/>
              </w:rPr>
              <w:t>fiskalische Dominanz</w:t>
            </w:r>
            <w:r w:rsidR="000E2293">
              <w:rPr>
                <w:rFonts w:cs="Arial"/>
              </w:rPr>
              <w:t>“)</w:t>
            </w:r>
            <w:r w:rsidR="00703A1C">
              <w:rPr>
                <w:rFonts w:cs="Arial"/>
              </w:rPr>
              <w:t>.</w:t>
            </w:r>
            <w:r w:rsidR="00B81A57" w:rsidRPr="00FB3DA7">
              <w:rPr>
                <w:rFonts w:cs="Arial"/>
              </w:rPr>
              <w:t xml:space="preserve"> </w:t>
            </w:r>
            <w:r w:rsidR="000E2293">
              <w:rPr>
                <w:rFonts w:cs="Arial"/>
              </w:rPr>
              <w:t xml:space="preserve">Dadurch ist sie </w:t>
            </w:r>
            <w:r w:rsidR="00084085">
              <w:rPr>
                <w:rFonts w:cs="Arial"/>
              </w:rPr>
              <w:t>kaum noch</w:t>
            </w:r>
            <w:r w:rsidR="00B81A57" w:rsidRPr="00FB3DA7">
              <w:rPr>
                <w:rFonts w:cs="Arial"/>
              </w:rPr>
              <w:t xml:space="preserve"> in der Lage, aus der Politik des </w:t>
            </w:r>
            <w:r w:rsidR="00316229" w:rsidRPr="00FB3DA7">
              <w:rPr>
                <w:rFonts w:cs="Arial"/>
              </w:rPr>
              <w:t xml:space="preserve">vielen </w:t>
            </w:r>
            <w:r w:rsidR="00316229">
              <w:rPr>
                <w:rFonts w:cs="Arial"/>
              </w:rPr>
              <w:t xml:space="preserve">und </w:t>
            </w:r>
            <w:r w:rsidR="00B81A57" w:rsidRPr="00FB3DA7">
              <w:rPr>
                <w:rFonts w:cs="Arial"/>
              </w:rPr>
              <w:t>billigen Geldes wieder auszusteigen</w:t>
            </w:r>
            <w:r w:rsidR="000E2293">
              <w:rPr>
                <w:rFonts w:cs="Arial"/>
              </w:rPr>
              <w:t xml:space="preserve">, </w:t>
            </w:r>
            <w:r w:rsidR="00084085">
              <w:rPr>
                <w:rFonts w:cs="Arial"/>
              </w:rPr>
              <w:t>ohne</w:t>
            </w:r>
            <w:r w:rsidR="000E2293">
              <w:rPr>
                <w:rFonts w:cs="Arial"/>
              </w:rPr>
              <w:t xml:space="preserve"> die Schuldentragfähigkeit vieler Eurostaaten zu gefährden</w:t>
            </w:r>
            <w:r w:rsidR="00B81A57" w:rsidRPr="00FB3DA7">
              <w:rPr>
                <w:rFonts w:cs="Arial"/>
              </w:rPr>
              <w:t>.</w:t>
            </w:r>
          </w:p>
          <w:p w14:paraId="384625EF" w14:textId="35C0D651" w:rsidR="00E16EF8" w:rsidRDefault="00D1169A" w:rsidP="00F175CF">
            <w:pPr>
              <w:pStyle w:val="Listenabsatz"/>
              <w:numPr>
                <w:ilvl w:val="0"/>
                <w:numId w:val="9"/>
              </w:numPr>
              <w:ind w:left="454" w:hanging="283"/>
              <w:rPr>
                <w:rFonts w:cs="Arial"/>
              </w:rPr>
            </w:pPr>
            <w:r>
              <w:rPr>
                <w:rFonts w:cs="Arial"/>
              </w:rPr>
              <w:t xml:space="preserve">Die </w:t>
            </w:r>
            <w:r w:rsidR="004E41FB">
              <w:rPr>
                <w:rFonts w:cs="Arial"/>
              </w:rPr>
              <w:t>Entwicklung der Schuldenquoten</w:t>
            </w:r>
            <w:r>
              <w:rPr>
                <w:rFonts w:cs="Arial"/>
              </w:rPr>
              <w:t xml:space="preserve"> erhöht </w:t>
            </w:r>
            <w:r w:rsidR="004E41FB">
              <w:rPr>
                <w:rFonts w:cs="Arial"/>
              </w:rPr>
              <w:t xml:space="preserve">auch </w:t>
            </w:r>
            <w:r>
              <w:rPr>
                <w:rFonts w:cs="Arial"/>
              </w:rPr>
              <w:t>die</w:t>
            </w:r>
            <w:r w:rsidR="00E16EF8" w:rsidRPr="00C6577E">
              <w:rPr>
                <w:rFonts w:cs="Arial"/>
              </w:rPr>
              <w:t xml:space="preserve"> Krisenanfälligkeit des Finanzsystems</w:t>
            </w:r>
            <w:r>
              <w:rPr>
                <w:rFonts w:cs="Arial"/>
              </w:rPr>
              <w:t xml:space="preserve">. </w:t>
            </w:r>
            <w:r w:rsidR="004E41FB">
              <w:rPr>
                <w:rFonts w:cs="Arial"/>
              </w:rPr>
              <w:t xml:space="preserve">Im Zuge </w:t>
            </w:r>
            <w:r>
              <w:rPr>
                <w:rFonts w:cs="Arial"/>
              </w:rPr>
              <w:t xml:space="preserve">der Krisenbekämpfung und Stabilisierung sorgt </w:t>
            </w:r>
            <w:r w:rsidR="004E41FB">
              <w:rPr>
                <w:rFonts w:cs="Arial"/>
              </w:rPr>
              <w:t xml:space="preserve">die EZB </w:t>
            </w:r>
            <w:r>
              <w:rPr>
                <w:rFonts w:cs="Arial"/>
              </w:rPr>
              <w:t xml:space="preserve">dafür, dass Kreditvergabeprozesse auch in Krisen </w:t>
            </w:r>
            <w:r w:rsidR="007A028F">
              <w:rPr>
                <w:rFonts w:cs="Arial"/>
              </w:rPr>
              <w:t>weiterlaufen. Zu diesem Zweck hält sie die Marktzinsen niedri</w:t>
            </w:r>
            <w:r w:rsidR="00F455E2">
              <w:rPr>
                <w:rFonts w:cs="Arial"/>
              </w:rPr>
              <w:t xml:space="preserve">g und </w:t>
            </w:r>
            <w:r w:rsidR="008B33B4">
              <w:rPr>
                <w:rFonts w:cs="Arial"/>
              </w:rPr>
              <w:t xml:space="preserve">sorgt bei den </w:t>
            </w:r>
            <w:r w:rsidR="00F455E2">
              <w:rPr>
                <w:rFonts w:cs="Arial"/>
              </w:rPr>
              <w:t>bedrängten Euro</w:t>
            </w:r>
            <w:r w:rsidR="008B33B4">
              <w:rPr>
                <w:rFonts w:cs="Arial"/>
              </w:rPr>
              <w:t>staaten für dauerhaft niedrige Kreditzinssätze</w:t>
            </w:r>
            <w:r w:rsidR="00F455E2">
              <w:rPr>
                <w:rFonts w:cs="Arial"/>
              </w:rPr>
              <w:t xml:space="preserve">, indem sie </w:t>
            </w:r>
            <w:r w:rsidR="007A028F">
              <w:rPr>
                <w:rFonts w:cs="Arial"/>
              </w:rPr>
              <w:t xml:space="preserve">die im </w:t>
            </w:r>
            <w:r w:rsidR="005D2BF5">
              <w:rPr>
                <w:rFonts w:cs="Arial"/>
              </w:rPr>
              <w:t>Finanz</w:t>
            </w:r>
            <w:r w:rsidR="007A028F">
              <w:rPr>
                <w:rFonts w:cs="Arial"/>
              </w:rPr>
              <w:t>system geschaffenen Kredite mit Hilfe ihrer Wertpapierankaufprogramme in Zentralbankgeld um</w:t>
            </w:r>
            <w:r w:rsidR="00F455E2">
              <w:rPr>
                <w:rFonts w:cs="Arial"/>
              </w:rPr>
              <w:t>wandelt</w:t>
            </w:r>
            <w:r w:rsidR="007A028F">
              <w:rPr>
                <w:rFonts w:cs="Arial"/>
              </w:rPr>
              <w:t>.</w:t>
            </w:r>
            <w:r w:rsidR="00D8443D">
              <w:rPr>
                <w:rFonts w:cs="Arial"/>
              </w:rPr>
              <w:t xml:space="preserve"> </w:t>
            </w:r>
            <w:r w:rsidR="00896776">
              <w:rPr>
                <w:rFonts w:cs="Arial"/>
              </w:rPr>
              <w:t>Die EZB</w:t>
            </w:r>
            <w:r w:rsidR="00D971FF">
              <w:rPr>
                <w:rFonts w:cs="Arial"/>
              </w:rPr>
              <w:t xml:space="preserve"> ermöglicht a</w:t>
            </w:r>
            <w:r w:rsidR="007A028F">
              <w:rPr>
                <w:rFonts w:cs="Arial"/>
              </w:rPr>
              <w:t>uf diese Weise ein dauerhaft hohes Kreditwachstum</w:t>
            </w:r>
            <w:r w:rsidR="005D0489">
              <w:rPr>
                <w:rFonts w:cs="Arial"/>
              </w:rPr>
              <w:t>, nimmt Einfluss auf die Kapitalströme im Euroraum</w:t>
            </w:r>
            <w:r w:rsidR="008B33B4">
              <w:rPr>
                <w:rFonts w:cs="Arial"/>
              </w:rPr>
              <w:t xml:space="preserve"> und übernimmt für immer größere Kreditbeträge das Ausfallrisiko</w:t>
            </w:r>
            <w:r w:rsidR="007A028F">
              <w:rPr>
                <w:rFonts w:cs="Arial"/>
              </w:rPr>
              <w:t>.</w:t>
            </w:r>
          </w:p>
          <w:p w14:paraId="720F7ED7" w14:textId="2633C60A" w:rsidR="007B4CA2" w:rsidRDefault="00A16751" w:rsidP="00F175CF">
            <w:pPr>
              <w:pStyle w:val="Listenabsatz"/>
              <w:numPr>
                <w:ilvl w:val="0"/>
                <w:numId w:val="9"/>
              </w:numPr>
              <w:ind w:left="454" w:hanging="283"/>
              <w:rPr>
                <w:rFonts w:cs="Arial"/>
              </w:rPr>
            </w:pPr>
            <w:r w:rsidRPr="00D8443D">
              <w:rPr>
                <w:rFonts w:cs="Arial"/>
              </w:rPr>
              <w:t xml:space="preserve">Die </w:t>
            </w:r>
            <w:r w:rsidR="007706FC" w:rsidRPr="00D8443D">
              <w:rPr>
                <w:rFonts w:cs="Arial"/>
              </w:rPr>
              <w:t xml:space="preserve">starke </w:t>
            </w:r>
            <w:r w:rsidRPr="00D8443D">
              <w:rPr>
                <w:rFonts w:cs="Arial"/>
              </w:rPr>
              <w:t>Ausweitung der Geld- und Kreditschöpfung erhöht die Gefahr einer Inflation im Bereich der Ausgaben für die Lebenshaltung.</w:t>
            </w:r>
          </w:p>
          <w:p w14:paraId="20E9E39D" w14:textId="6033CB7A" w:rsidR="0033206A" w:rsidRDefault="00CE5741" w:rsidP="00F175CF">
            <w:pPr>
              <w:pStyle w:val="Listenabsatz"/>
              <w:numPr>
                <w:ilvl w:val="0"/>
                <w:numId w:val="9"/>
              </w:numPr>
              <w:ind w:left="454" w:hanging="283"/>
              <w:rPr>
                <w:rFonts w:cs="Arial"/>
              </w:rPr>
            </w:pPr>
            <w:r>
              <w:rPr>
                <w:rFonts w:cs="Arial"/>
              </w:rPr>
              <w:t>Die stark wachsende Geldmenge</w:t>
            </w:r>
            <w:r w:rsidR="00D971FF">
              <w:rPr>
                <w:rFonts w:cs="Arial"/>
              </w:rPr>
              <w:t xml:space="preserve"> </w:t>
            </w:r>
            <w:r w:rsidR="0033206A">
              <w:rPr>
                <w:rFonts w:cs="Arial"/>
              </w:rPr>
              <w:t>schlägt sich</w:t>
            </w:r>
            <w:r>
              <w:rPr>
                <w:rFonts w:cs="Arial"/>
              </w:rPr>
              <w:t xml:space="preserve"> auch in de</w:t>
            </w:r>
            <w:r w:rsidR="00352087">
              <w:rPr>
                <w:rFonts w:cs="Arial"/>
              </w:rPr>
              <w:t>r</w:t>
            </w:r>
            <w:r>
              <w:rPr>
                <w:rFonts w:cs="Arial"/>
              </w:rPr>
              <w:t xml:space="preserve"> </w:t>
            </w:r>
            <w:r w:rsidR="00352087">
              <w:rPr>
                <w:rFonts w:cs="Arial"/>
              </w:rPr>
              <w:t xml:space="preserve">Höhe der </w:t>
            </w:r>
            <w:r>
              <w:rPr>
                <w:rFonts w:cs="Arial"/>
              </w:rPr>
              <w:t>Bankeinlagen</w:t>
            </w:r>
            <w:r w:rsidR="0033206A">
              <w:rPr>
                <w:rFonts w:cs="Arial"/>
              </w:rPr>
              <w:t xml:space="preserve"> nieder</w:t>
            </w:r>
            <w:r>
              <w:rPr>
                <w:rFonts w:cs="Arial"/>
              </w:rPr>
              <w:t xml:space="preserve">. </w:t>
            </w:r>
            <w:r w:rsidR="00D971FF">
              <w:rPr>
                <w:rFonts w:cs="Arial"/>
              </w:rPr>
              <w:t xml:space="preserve">Für die Kreditinstitute sind diese Einlagen </w:t>
            </w:r>
            <w:r w:rsidR="002B49E8">
              <w:rPr>
                <w:rFonts w:cs="Arial"/>
              </w:rPr>
              <w:t xml:space="preserve">seit längerer Zeit </w:t>
            </w:r>
            <w:r w:rsidR="00793B76">
              <w:rPr>
                <w:rFonts w:cs="Arial"/>
              </w:rPr>
              <w:t xml:space="preserve">kein Ertragsbaustein mehr, sondern </w:t>
            </w:r>
            <w:r w:rsidR="00D971FF">
              <w:rPr>
                <w:rFonts w:cs="Arial"/>
              </w:rPr>
              <w:t>zu einem erheblichen Kostenfaktor geworden</w:t>
            </w:r>
            <w:r w:rsidR="00793B76">
              <w:rPr>
                <w:rFonts w:cs="Arial"/>
              </w:rPr>
              <w:t xml:space="preserve">. </w:t>
            </w:r>
            <w:r w:rsidR="0033206A">
              <w:rPr>
                <w:rFonts w:cs="Arial"/>
              </w:rPr>
              <w:t xml:space="preserve">Sie </w:t>
            </w:r>
            <w:r w:rsidR="00A531E9">
              <w:rPr>
                <w:rFonts w:cs="Arial"/>
              </w:rPr>
              <w:t xml:space="preserve">benötigen </w:t>
            </w:r>
            <w:r w:rsidR="00F73E48">
              <w:rPr>
                <w:rFonts w:cs="Arial"/>
              </w:rPr>
              <w:t>diese Anlagebeträge</w:t>
            </w:r>
            <w:r w:rsidR="00A531E9">
              <w:rPr>
                <w:rFonts w:cs="Arial"/>
              </w:rPr>
              <w:t xml:space="preserve"> </w:t>
            </w:r>
            <w:r w:rsidR="00883655">
              <w:rPr>
                <w:rFonts w:cs="Arial"/>
              </w:rPr>
              <w:t xml:space="preserve">für das Kreditgeschäft </w:t>
            </w:r>
            <w:r w:rsidR="00A531E9">
              <w:rPr>
                <w:rFonts w:cs="Arial"/>
              </w:rPr>
              <w:t xml:space="preserve">nicht, da </w:t>
            </w:r>
            <w:r w:rsidR="00F73E48">
              <w:rPr>
                <w:rFonts w:cs="Arial"/>
              </w:rPr>
              <w:t xml:space="preserve">Kredite </w:t>
            </w:r>
            <w:r w:rsidR="00883655">
              <w:rPr>
                <w:rFonts w:cs="Arial"/>
              </w:rPr>
              <w:t xml:space="preserve">mittels </w:t>
            </w:r>
            <w:proofErr w:type="spellStart"/>
            <w:r w:rsidR="00883655">
              <w:rPr>
                <w:rFonts w:cs="Arial"/>
              </w:rPr>
              <w:t>Giralgeldschöpfung</w:t>
            </w:r>
            <w:proofErr w:type="spellEnd"/>
            <w:r w:rsidR="00883655">
              <w:rPr>
                <w:rFonts w:cs="Arial"/>
              </w:rPr>
              <w:t xml:space="preserve"> vergeben werden</w:t>
            </w:r>
            <w:r w:rsidR="00F73E48">
              <w:rPr>
                <w:rFonts w:cs="Arial"/>
              </w:rPr>
              <w:t xml:space="preserve">. </w:t>
            </w:r>
            <w:r w:rsidR="00F56023">
              <w:rPr>
                <w:rFonts w:cs="Arial"/>
              </w:rPr>
              <w:t>Stattdessen muss d</w:t>
            </w:r>
            <w:r w:rsidR="0033206A">
              <w:rPr>
                <w:rFonts w:cs="Arial"/>
              </w:rPr>
              <w:t xml:space="preserve">ie </w:t>
            </w:r>
            <w:r w:rsidR="00F56023">
              <w:rPr>
                <w:rFonts w:cs="Arial"/>
              </w:rPr>
              <w:t xml:space="preserve">nicht benötigte </w:t>
            </w:r>
            <w:r w:rsidR="0033206A">
              <w:rPr>
                <w:rFonts w:cs="Arial"/>
              </w:rPr>
              <w:t xml:space="preserve">Überschussliquidität </w:t>
            </w:r>
            <w:r w:rsidR="00F56023">
              <w:rPr>
                <w:rFonts w:cs="Arial"/>
              </w:rPr>
              <w:t xml:space="preserve">oft </w:t>
            </w:r>
            <w:r w:rsidR="0033206A">
              <w:rPr>
                <w:rFonts w:cs="Arial"/>
              </w:rPr>
              <w:t>zu einem Negativzinssatz bei der EZB oder am In</w:t>
            </w:r>
            <w:r w:rsidR="00793A69">
              <w:rPr>
                <w:rFonts w:cs="Arial"/>
              </w:rPr>
              <w:t>terbankenmarkt angelegt werden.</w:t>
            </w:r>
          </w:p>
          <w:p w14:paraId="79D939FE" w14:textId="6731652D" w:rsidR="003A37A9" w:rsidRDefault="0033206A" w:rsidP="00F175CF">
            <w:pPr>
              <w:pStyle w:val="Listenabsatz"/>
              <w:numPr>
                <w:ilvl w:val="0"/>
                <w:numId w:val="9"/>
              </w:numPr>
              <w:ind w:left="454" w:hanging="283"/>
              <w:rPr>
                <w:rFonts w:cs="Arial"/>
              </w:rPr>
            </w:pPr>
            <w:r>
              <w:rPr>
                <w:rFonts w:cs="Arial"/>
              </w:rPr>
              <w:t xml:space="preserve">Da </w:t>
            </w:r>
            <w:r w:rsidR="00883655">
              <w:rPr>
                <w:rFonts w:cs="Arial"/>
              </w:rPr>
              <w:t>Kreditinstitute</w:t>
            </w:r>
            <w:r w:rsidR="005A5C7D">
              <w:rPr>
                <w:rFonts w:cs="Arial"/>
              </w:rPr>
              <w:t xml:space="preserve"> </w:t>
            </w:r>
            <w:r>
              <w:rPr>
                <w:rFonts w:cs="Arial"/>
              </w:rPr>
              <w:t xml:space="preserve">sich im Bedarfsfall jederzeit über </w:t>
            </w:r>
            <w:r w:rsidR="00F56023">
              <w:rPr>
                <w:rFonts w:cs="Arial"/>
              </w:rPr>
              <w:t xml:space="preserve">den Interbankenmarkt oder </w:t>
            </w:r>
            <w:r>
              <w:rPr>
                <w:rFonts w:cs="Arial"/>
              </w:rPr>
              <w:t xml:space="preserve">die EZB </w:t>
            </w:r>
            <w:r w:rsidR="00F56023">
              <w:rPr>
                <w:rFonts w:cs="Arial"/>
              </w:rPr>
              <w:t xml:space="preserve">teilweise extrem günstig (siehe oben) </w:t>
            </w:r>
            <w:r>
              <w:rPr>
                <w:rFonts w:cs="Arial"/>
              </w:rPr>
              <w:t>refinanzieren</w:t>
            </w:r>
            <w:r w:rsidR="00E06121">
              <w:rPr>
                <w:rFonts w:cs="Arial"/>
              </w:rPr>
              <w:t xml:space="preserve"> können, </w:t>
            </w:r>
            <w:r w:rsidR="00793B76">
              <w:rPr>
                <w:rFonts w:cs="Arial"/>
              </w:rPr>
              <w:t xml:space="preserve">sind </w:t>
            </w:r>
            <w:r w:rsidR="00E06121">
              <w:rPr>
                <w:rFonts w:cs="Arial"/>
              </w:rPr>
              <w:t xml:space="preserve">sie </w:t>
            </w:r>
            <w:r>
              <w:rPr>
                <w:rFonts w:cs="Arial"/>
              </w:rPr>
              <w:t xml:space="preserve">inzwischen </w:t>
            </w:r>
            <w:r w:rsidR="002B49E8">
              <w:rPr>
                <w:rFonts w:cs="Arial"/>
              </w:rPr>
              <w:t xml:space="preserve">vermehrt </w:t>
            </w:r>
            <w:r w:rsidR="00793B76">
              <w:rPr>
                <w:rFonts w:cs="Arial"/>
              </w:rPr>
              <w:t>dazu übergegangen, sich gegen den Zufluss neuer Einlagen durch die Berechnung eines Verwahrentgeltes zu wehren sowie bestehende Einlagen durch den Verkauf außerbilanzieller Anlage</w:t>
            </w:r>
            <w:r w:rsidR="002B49E8">
              <w:rPr>
                <w:rFonts w:cs="Arial"/>
              </w:rPr>
              <w:t>formen</w:t>
            </w:r>
            <w:r w:rsidR="00793B76">
              <w:rPr>
                <w:rFonts w:cs="Arial"/>
              </w:rPr>
              <w:t xml:space="preserve"> zu reduzieren.</w:t>
            </w:r>
            <w:r w:rsidR="002B49E8">
              <w:rPr>
                <w:rFonts w:cs="Arial"/>
              </w:rPr>
              <w:t xml:space="preserve"> </w:t>
            </w:r>
            <w:r w:rsidR="00883655">
              <w:rPr>
                <w:rFonts w:cs="Arial"/>
              </w:rPr>
              <w:t xml:space="preserve">Für die </w:t>
            </w:r>
            <w:r w:rsidR="00793A69">
              <w:rPr>
                <w:rFonts w:cs="Arial"/>
              </w:rPr>
              <w:t xml:space="preserve">Bankkundinnen und </w:t>
            </w:r>
            <w:r w:rsidR="00883655">
              <w:rPr>
                <w:rFonts w:cs="Arial"/>
              </w:rPr>
              <w:t xml:space="preserve">Bankkunden gibt es somit in der </w:t>
            </w:r>
            <w:r w:rsidR="00883655">
              <w:rPr>
                <w:rFonts w:cs="Arial"/>
              </w:rPr>
              <w:lastRenderedPageBreak/>
              <w:t>Geldanlage s</w:t>
            </w:r>
            <w:r w:rsidR="002B49E8">
              <w:rPr>
                <w:rFonts w:cs="Arial"/>
              </w:rPr>
              <w:t xml:space="preserve">tatt eines risikolosen </w:t>
            </w:r>
            <w:r w:rsidR="00F73E48">
              <w:rPr>
                <w:rFonts w:cs="Arial"/>
              </w:rPr>
              <w:t xml:space="preserve">(positiven) </w:t>
            </w:r>
            <w:r w:rsidR="002B49E8">
              <w:rPr>
                <w:rFonts w:cs="Arial"/>
              </w:rPr>
              <w:t xml:space="preserve">Zinssatzes </w:t>
            </w:r>
            <w:r w:rsidR="00F73E48">
              <w:rPr>
                <w:rFonts w:cs="Arial"/>
              </w:rPr>
              <w:t>überwiegend nur noch zinslose Risiken.</w:t>
            </w:r>
          </w:p>
          <w:p w14:paraId="396CB86D" w14:textId="5948E56D" w:rsidR="007B4CA2" w:rsidRDefault="00E06121" w:rsidP="00F175CF">
            <w:pPr>
              <w:pStyle w:val="Listenabsatz"/>
              <w:numPr>
                <w:ilvl w:val="0"/>
                <w:numId w:val="9"/>
              </w:numPr>
              <w:ind w:left="454" w:hanging="283"/>
              <w:rPr>
                <w:rFonts w:cs="Arial"/>
              </w:rPr>
            </w:pPr>
            <w:r>
              <w:rPr>
                <w:rFonts w:cs="Arial"/>
              </w:rPr>
              <w:t xml:space="preserve">Sparen in Form von Bankeinlagen ist unter Einberechnung der Geldentwertung zu einem sicheren Verlustgeschäft für die Bevölkerung geworden. </w:t>
            </w:r>
            <w:r w:rsidR="003A37A9">
              <w:rPr>
                <w:rFonts w:cs="Arial"/>
              </w:rPr>
              <w:t>Die in der Bevölkerung seit Generationen etablierte Kultur des Sparens und die damit verbundene Vorsorge für schlechte Zeiten oder für das Alter wird durch dauerhaft negative Realzins</w:t>
            </w:r>
            <w:r w:rsidR="00FA7AA4">
              <w:rPr>
                <w:rFonts w:cs="Arial"/>
              </w:rPr>
              <w:t>sätze</w:t>
            </w:r>
            <w:r w:rsidR="003A37A9">
              <w:rPr>
                <w:rFonts w:cs="Arial"/>
              </w:rPr>
              <w:t xml:space="preserve"> </w:t>
            </w:r>
            <w:r w:rsidR="00A531E9">
              <w:rPr>
                <w:rFonts w:cs="Arial"/>
              </w:rPr>
              <w:t xml:space="preserve">im Bereich der sicheren Geldanlageformen </w:t>
            </w:r>
            <w:r w:rsidR="003A37A9">
              <w:rPr>
                <w:rFonts w:cs="Arial"/>
              </w:rPr>
              <w:t xml:space="preserve">nachhaltig </w:t>
            </w:r>
            <w:r w:rsidR="00290AD3">
              <w:rPr>
                <w:rFonts w:cs="Arial"/>
              </w:rPr>
              <w:t>g</w:t>
            </w:r>
            <w:r w:rsidR="003A37A9">
              <w:rPr>
                <w:rFonts w:cs="Arial"/>
              </w:rPr>
              <w:t>eschädigt.</w:t>
            </w:r>
          </w:p>
          <w:p w14:paraId="0FA49D95" w14:textId="77777777" w:rsidR="009F63E8" w:rsidRDefault="009F63E8" w:rsidP="007C3A73">
            <w:pPr>
              <w:rPr>
                <w:rFonts w:cs="Arial"/>
              </w:rPr>
            </w:pPr>
          </w:p>
          <w:p w14:paraId="393E049E" w14:textId="6490B7E9" w:rsidR="009F63E8" w:rsidRPr="00084085" w:rsidRDefault="009F63E8" w:rsidP="007C3A73">
            <w:pPr>
              <w:rPr>
                <w:rFonts w:cs="Arial"/>
                <w:i/>
                <w:iCs/>
              </w:rPr>
            </w:pPr>
            <w:r>
              <w:rPr>
                <w:rFonts w:cs="Arial"/>
              </w:rPr>
              <w:t xml:space="preserve">* </w:t>
            </w:r>
            <w:r w:rsidRPr="00084085">
              <w:rPr>
                <w:rFonts w:cs="Arial"/>
                <w:i/>
                <w:iCs/>
              </w:rPr>
              <w:t xml:space="preserve">Hinweis: Nur die Bargeldmenge bei Nichtbanken (der Euro-Bargeldumlauf) ist in der Geldmenge M3 enthalten, nicht aber das Guthaben der Geschäftsbanken bei der Notenbank und die Bargeldbestände bei den Banken. Der Euro-Bargeldumlauf ist zwischen 2008 und 2021 von etwa 600 auf etwa </w:t>
            </w:r>
            <w:r w:rsidR="00793A69">
              <w:rPr>
                <w:rFonts w:cs="Arial"/>
                <w:i/>
                <w:iCs/>
              </w:rPr>
              <w:t>1.400 Mrd. </w:t>
            </w:r>
            <w:r w:rsidRPr="00084085">
              <w:rPr>
                <w:rFonts w:cs="Arial"/>
                <w:i/>
                <w:iCs/>
              </w:rPr>
              <w:t>Euro gestieg</w:t>
            </w:r>
            <w:r w:rsidR="00793A69">
              <w:rPr>
                <w:rFonts w:cs="Arial"/>
                <w:i/>
                <w:iCs/>
              </w:rPr>
              <w:t>en. Der Differenzbetrag von 800 Mrd. </w:t>
            </w:r>
            <w:r w:rsidRPr="00084085">
              <w:rPr>
                <w:rFonts w:cs="Arial"/>
                <w:i/>
                <w:iCs/>
              </w:rPr>
              <w:t>Euro ist sowohl Bestandteil der Zentralbankgeldmenge M0, als auch Bestandteil von M3. Er ist daher bei der Berechnung des Anstiegs der Geldmenge (M0 + M3) aufgrund der Doppelzählung einmal herauszurechnen.</w:t>
            </w:r>
          </w:p>
          <w:p w14:paraId="44FE5A39" w14:textId="67FA7D45" w:rsidR="009F63E8" w:rsidRPr="009F63E8" w:rsidRDefault="009F63E8" w:rsidP="007C3A73">
            <w:pPr>
              <w:rPr>
                <w:rFonts w:cs="Arial"/>
              </w:rPr>
            </w:pPr>
          </w:p>
        </w:tc>
      </w:tr>
    </w:tbl>
    <w:p w14:paraId="4315B073" w14:textId="77777777" w:rsidR="005F0E2E" w:rsidRDefault="005F0E2E"/>
    <w:p w14:paraId="752AEFF4" w14:textId="77777777" w:rsidR="007C3A73" w:rsidRDefault="007C3A73">
      <w:pPr>
        <w:rPr>
          <w:b/>
        </w:rPr>
      </w:pPr>
      <w:r>
        <w:rPr>
          <w:b/>
        </w:rPr>
        <w:br w:type="page"/>
      </w:r>
    </w:p>
    <w:p w14:paraId="1BE50B89" w14:textId="2A9A87C7" w:rsidR="007C3A73" w:rsidRPr="007C3A73" w:rsidRDefault="00D34AA3" w:rsidP="0066115B">
      <w:pPr>
        <w:spacing w:after="240" w:line="276" w:lineRule="auto"/>
        <w:rPr>
          <w:b/>
        </w:rPr>
      </w:pPr>
      <w:r w:rsidRPr="007C3A73">
        <w:rPr>
          <w:b/>
        </w:rPr>
        <w:lastRenderedPageBreak/>
        <w:t>Weitere</w:t>
      </w:r>
      <w:r w:rsidR="00AD6A80" w:rsidRPr="007C3A73">
        <w:rPr>
          <w:b/>
        </w:rPr>
        <w:t xml:space="preserve"> Informationsq</w:t>
      </w:r>
      <w:r w:rsidR="007C3A73" w:rsidRPr="007C3A73">
        <w:rPr>
          <w:b/>
        </w:rPr>
        <w:t>uellen</w:t>
      </w:r>
    </w:p>
    <w:tbl>
      <w:tblPr>
        <w:tblStyle w:val="Tabellenraster"/>
        <w:tblW w:w="9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3"/>
        <w:gridCol w:w="7212"/>
      </w:tblGrid>
      <w:tr w:rsidR="00F04EA4" w14:paraId="2B1DDC1A" w14:textId="77777777" w:rsidTr="004E407D">
        <w:trPr>
          <w:trHeight w:hRule="exact" w:val="2835"/>
        </w:trPr>
        <w:tc>
          <w:tcPr>
            <w:tcW w:w="2623" w:type="dxa"/>
            <w:vAlign w:val="center"/>
          </w:tcPr>
          <w:p w14:paraId="570323EF" w14:textId="2EC4990C" w:rsidR="007C3A73" w:rsidRDefault="007C3A73" w:rsidP="007C3A73">
            <w:bookmarkStart w:id="2" w:name="_Hlk58322347"/>
            <w:r>
              <w:rPr>
                <w:noProof/>
                <w:lang w:eastAsia="de-DE"/>
              </w:rPr>
              <w:drawing>
                <wp:inline distT="0" distB="0" distL="0" distR="0" wp14:anchorId="349BC5D2" wp14:editId="5700D903">
                  <wp:extent cx="1211831" cy="1266092"/>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9686" t="31890" r="39459" b="27887"/>
                          <a:stretch/>
                        </pic:blipFill>
                        <pic:spPr bwMode="auto">
                          <a:xfrm>
                            <a:off x="0" y="0"/>
                            <a:ext cx="1216871" cy="1271357"/>
                          </a:xfrm>
                          <a:prstGeom prst="rect">
                            <a:avLst/>
                          </a:prstGeom>
                          <a:ln>
                            <a:noFill/>
                          </a:ln>
                          <a:extLst>
                            <a:ext uri="{53640926-AAD7-44D8-BBD7-CCE9431645EC}">
                              <a14:shadowObscured xmlns:a14="http://schemas.microsoft.com/office/drawing/2010/main"/>
                            </a:ext>
                          </a:extLst>
                        </pic:spPr>
                      </pic:pic>
                    </a:graphicData>
                  </a:graphic>
                </wp:inline>
              </w:drawing>
            </w:r>
          </w:p>
        </w:tc>
        <w:tc>
          <w:tcPr>
            <w:tcW w:w="7212" w:type="dxa"/>
            <w:vAlign w:val="center"/>
          </w:tcPr>
          <w:p w14:paraId="4DB269F5" w14:textId="56ABEAEF" w:rsidR="005929E0" w:rsidRDefault="006D02E8" w:rsidP="004D0741">
            <w:proofErr w:type="spellStart"/>
            <w:r>
              <w:t>Erklärvideo</w:t>
            </w:r>
            <w:proofErr w:type="spellEnd"/>
            <w:r>
              <w:t xml:space="preserve"> </w:t>
            </w:r>
            <w:r w:rsidR="00305CCA">
              <w:t>der Bundesbank „Wie entsteht Geld? - Buchgeld“</w:t>
            </w:r>
          </w:p>
          <w:p w14:paraId="1C36CA29" w14:textId="7CF64156" w:rsidR="006D02E8" w:rsidRDefault="006D02E8" w:rsidP="004D0741"/>
          <w:p w14:paraId="2C48FEAD" w14:textId="77777777" w:rsidR="00305CCA" w:rsidRDefault="004E407D" w:rsidP="00305CCA">
            <w:pPr>
              <w:spacing w:after="160" w:line="259" w:lineRule="auto"/>
            </w:pPr>
            <w:hyperlink r:id="rId14" w:history="1">
              <w:r w:rsidR="00305CCA" w:rsidRPr="003104E6">
                <w:rPr>
                  <w:rStyle w:val="Hyperlink"/>
                </w:rPr>
                <w:t>https://www.youtube.com/watch?v=xHXRE3yKgWg</w:t>
              </w:r>
            </w:hyperlink>
          </w:p>
          <w:p w14:paraId="0E357429" w14:textId="77777777" w:rsidR="006D02E8" w:rsidRDefault="006D02E8" w:rsidP="004D0741"/>
          <w:p w14:paraId="03388A4A" w14:textId="392D688E" w:rsidR="0031464C" w:rsidRDefault="0031464C" w:rsidP="004D0741">
            <w:r>
              <w:t xml:space="preserve">(Zugriff am </w:t>
            </w:r>
            <w:r w:rsidR="009A355C">
              <w:t>08.01.2022</w:t>
            </w:r>
            <w:r>
              <w:t>)</w:t>
            </w:r>
          </w:p>
        </w:tc>
      </w:tr>
      <w:bookmarkEnd w:id="2"/>
      <w:tr w:rsidR="00305CCA" w14:paraId="486E15C7" w14:textId="77777777" w:rsidTr="004E407D">
        <w:trPr>
          <w:trHeight w:hRule="exact" w:val="2835"/>
        </w:trPr>
        <w:tc>
          <w:tcPr>
            <w:tcW w:w="2623" w:type="dxa"/>
            <w:vAlign w:val="center"/>
          </w:tcPr>
          <w:p w14:paraId="33919329" w14:textId="21807CC3" w:rsidR="00FC1D78" w:rsidRDefault="007C3A73" w:rsidP="007C3A73">
            <w:pPr>
              <w:rPr>
                <w:rFonts w:ascii="TitilliumText25" w:hAnsi="TitilliumText25" w:cs="Helvetica"/>
                <w:noProof/>
                <w:color w:val="222222"/>
                <w:lang w:eastAsia="de-DE"/>
              </w:rPr>
            </w:pPr>
            <w:r>
              <w:rPr>
                <w:noProof/>
                <w:lang w:eastAsia="de-DE"/>
              </w:rPr>
              <w:drawing>
                <wp:inline distT="0" distB="0" distL="0" distR="0" wp14:anchorId="6F48CEB0" wp14:editId="572E3025">
                  <wp:extent cx="1192887" cy="1210826"/>
                  <wp:effectExtent l="0" t="0" r="7620"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9842" t="32752" r="39459" b="28462"/>
                          <a:stretch/>
                        </pic:blipFill>
                        <pic:spPr bwMode="auto">
                          <a:xfrm>
                            <a:off x="0" y="0"/>
                            <a:ext cx="1202531" cy="1220615"/>
                          </a:xfrm>
                          <a:prstGeom prst="rect">
                            <a:avLst/>
                          </a:prstGeom>
                          <a:ln>
                            <a:noFill/>
                          </a:ln>
                          <a:extLst>
                            <a:ext uri="{53640926-AAD7-44D8-BBD7-CCE9431645EC}">
                              <a14:shadowObscured xmlns:a14="http://schemas.microsoft.com/office/drawing/2010/main"/>
                            </a:ext>
                          </a:extLst>
                        </pic:spPr>
                      </pic:pic>
                    </a:graphicData>
                  </a:graphic>
                </wp:inline>
              </w:drawing>
            </w:r>
          </w:p>
        </w:tc>
        <w:tc>
          <w:tcPr>
            <w:tcW w:w="7212" w:type="dxa"/>
            <w:vAlign w:val="center"/>
          </w:tcPr>
          <w:p w14:paraId="6489D360" w14:textId="7ED92A9C" w:rsidR="00305CCA" w:rsidRDefault="00305CCA" w:rsidP="00305CCA">
            <w:proofErr w:type="spellStart"/>
            <w:r>
              <w:t>Erklärvideo</w:t>
            </w:r>
            <w:proofErr w:type="spellEnd"/>
            <w:r>
              <w:t xml:space="preserve"> der Bundesbank „Wie entsteht Geld? - Bargeld“</w:t>
            </w:r>
          </w:p>
          <w:p w14:paraId="167EFF24" w14:textId="77777777" w:rsidR="00305CCA" w:rsidRDefault="00305CCA" w:rsidP="00305CCA"/>
          <w:p w14:paraId="4EC7D68A" w14:textId="4CAECB39" w:rsidR="00305CCA" w:rsidRDefault="004E407D" w:rsidP="00305CCA">
            <w:hyperlink r:id="rId16" w:history="1">
              <w:r w:rsidR="00305CCA" w:rsidRPr="003104E6">
                <w:rPr>
                  <w:rStyle w:val="Hyperlink"/>
                </w:rPr>
                <w:t>https://www.youtube.com/watch?v=hEB0B7e9wxg</w:t>
              </w:r>
            </w:hyperlink>
          </w:p>
          <w:p w14:paraId="70852EDE" w14:textId="77777777" w:rsidR="00305CCA" w:rsidRDefault="00305CCA" w:rsidP="00305CCA"/>
          <w:p w14:paraId="5A068D78" w14:textId="17B81275" w:rsidR="00305CCA" w:rsidRDefault="009A355C" w:rsidP="00305CCA">
            <w:r>
              <w:t>(Zugriff am 08.01.2022)</w:t>
            </w:r>
          </w:p>
        </w:tc>
      </w:tr>
      <w:tr w:rsidR="00305CCA" w14:paraId="3BE93039" w14:textId="77777777" w:rsidTr="004E407D">
        <w:trPr>
          <w:trHeight w:hRule="exact" w:val="2835"/>
        </w:trPr>
        <w:tc>
          <w:tcPr>
            <w:tcW w:w="2623" w:type="dxa"/>
            <w:vAlign w:val="center"/>
          </w:tcPr>
          <w:p w14:paraId="1A00B783" w14:textId="77777777" w:rsidR="007C3A73" w:rsidRDefault="007C3A73" w:rsidP="007C3A73">
            <w:pPr>
              <w:rPr>
                <w:noProof/>
                <w:lang w:eastAsia="de-DE"/>
              </w:rPr>
            </w:pPr>
            <w:r>
              <w:rPr>
                <w:noProof/>
                <w:lang w:eastAsia="de-DE"/>
              </w:rPr>
              <w:drawing>
                <wp:inline distT="0" distB="0" distL="0" distR="0" wp14:anchorId="61142B4E" wp14:editId="5DCE3610">
                  <wp:extent cx="1199892" cy="1165609"/>
                  <wp:effectExtent l="0" t="0" r="63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8753" t="32752" r="39458" b="28175"/>
                          <a:stretch/>
                        </pic:blipFill>
                        <pic:spPr bwMode="auto">
                          <a:xfrm>
                            <a:off x="0" y="0"/>
                            <a:ext cx="1205042" cy="1170612"/>
                          </a:xfrm>
                          <a:prstGeom prst="rect">
                            <a:avLst/>
                          </a:prstGeom>
                          <a:ln>
                            <a:noFill/>
                          </a:ln>
                          <a:extLst>
                            <a:ext uri="{53640926-AAD7-44D8-BBD7-CCE9431645EC}">
                              <a14:shadowObscured xmlns:a14="http://schemas.microsoft.com/office/drawing/2010/main"/>
                            </a:ext>
                          </a:extLst>
                        </pic:spPr>
                      </pic:pic>
                    </a:graphicData>
                  </a:graphic>
                </wp:inline>
              </w:drawing>
            </w:r>
          </w:p>
          <w:p w14:paraId="42463D53" w14:textId="6457DE86" w:rsidR="007C3A73" w:rsidRPr="00AA73F2" w:rsidRDefault="007C3A73" w:rsidP="007C3A73">
            <w:pPr>
              <w:rPr>
                <w:noProof/>
                <w:lang w:eastAsia="de-DE"/>
              </w:rPr>
            </w:pPr>
          </w:p>
        </w:tc>
        <w:tc>
          <w:tcPr>
            <w:tcW w:w="7212" w:type="dxa"/>
            <w:vAlign w:val="center"/>
          </w:tcPr>
          <w:p w14:paraId="450B2CDB" w14:textId="087E3759" w:rsidR="00FC1D78" w:rsidRDefault="00FC1D78" w:rsidP="00305CCA">
            <w:r>
              <w:t>Schülerbuch der Deutschen Bundesbank</w:t>
            </w:r>
          </w:p>
          <w:p w14:paraId="08C1A37A" w14:textId="77777777" w:rsidR="00FC1D78" w:rsidRDefault="00FC1D78" w:rsidP="00305CCA"/>
          <w:p w14:paraId="0535A812" w14:textId="58C4962A" w:rsidR="00305CCA" w:rsidRDefault="00305CCA" w:rsidP="00305CCA">
            <w:r>
              <w:t>Deutsche Bundesbank: Geld und Geldpolitik, Schülerbuch, 2019</w:t>
            </w:r>
          </w:p>
          <w:p w14:paraId="70536789" w14:textId="6D19CEEB" w:rsidR="00305CCA" w:rsidRDefault="004E407D" w:rsidP="004E407D">
            <w:pPr>
              <w:suppressAutoHyphens/>
            </w:pPr>
            <w:hyperlink r:id="rId18" w:history="1">
              <w:r w:rsidR="00305CCA" w:rsidRPr="003104E6">
                <w:rPr>
                  <w:rStyle w:val="Hyperlink"/>
                </w:rPr>
                <w:t>https://www.bund</w:t>
              </w:r>
              <w:bookmarkStart w:id="3" w:name="_GoBack"/>
              <w:bookmarkEnd w:id="3"/>
              <w:r w:rsidR="00305CCA" w:rsidRPr="003104E6">
                <w:rPr>
                  <w:rStyle w:val="Hyperlink"/>
                </w:rPr>
                <w:t>e</w:t>
              </w:r>
              <w:r w:rsidR="00305CCA" w:rsidRPr="003104E6">
                <w:rPr>
                  <w:rStyle w:val="Hyperlink"/>
                </w:rPr>
                <w:t>sbank.de/resource/blob/606038/5a6612ee8b34e6bffcf793d75eef6244/mL/geld-und-geldpolitik-data.pdf</w:t>
              </w:r>
            </w:hyperlink>
          </w:p>
          <w:p w14:paraId="71A5190F" w14:textId="77777777" w:rsidR="00305CCA" w:rsidRDefault="00305CCA" w:rsidP="00305CCA"/>
          <w:p w14:paraId="73707298" w14:textId="27C3D9A7" w:rsidR="007772E9" w:rsidRDefault="007E6F0F" w:rsidP="00305CCA">
            <w:r>
              <w:t>(Zugriff am 08.01.2022)</w:t>
            </w:r>
          </w:p>
        </w:tc>
      </w:tr>
      <w:tr w:rsidR="00305CCA" w14:paraId="201B8D75" w14:textId="77777777" w:rsidTr="004E407D">
        <w:trPr>
          <w:trHeight w:hRule="exact" w:val="2835"/>
        </w:trPr>
        <w:tc>
          <w:tcPr>
            <w:tcW w:w="2623" w:type="dxa"/>
            <w:vAlign w:val="center"/>
          </w:tcPr>
          <w:p w14:paraId="23AC2826" w14:textId="1B8B427C" w:rsidR="00FC1D78" w:rsidRDefault="00FC1D78" w:rsidP="00305CCA">
            <w:pPr>
              <w:rPr>
                <w:noProof/>
              </w:rPr>
            </w:pPr>
            <w:r>
              <w:rPr>
                <w:noProof/>
                <w:lang w:eastAsia="de-DE"/>
              </w:rPr>
              <w:drawing>
                <wp:inline distT="0" distB="0" distL="0" distR="0" wp14:anchorId="48825D59" wp14:editId="5C8CCAB7">
                  <wp:extent cx="1218306" cy="1245995"/>
                  <wp:effectExtent l="0" t="0" r="127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9998" t="32178" r="39458" b="29037"/>
                          <a:stretch/>
                        </pic:blipFill>
                        <pic:spPr bwMode="auto">
                          <a:xfrm>
                            <a:off x="0" y="0"/>
                            <a:ext cx="1222914" cy="1250708"/>
                          </a:xfrm>
                          <a:prstGeom prst="rect">
                            <a:avLst/>
                          </a:prstGeom>
                          <a:ln>
                            <a:noFill/>
                          </a:ln>
                          <a:extLst>
                            <a:ext uri="{53640926-AAD7-44D8-BBD7-CCE9431645EC}">
                              <a14:shadowObscured xmlns:a14="http://schemas.microsoft.com/office/drawing/2010/main"/>
                            </a:ext>
                          </a:extLst>
                        </pic:spPr>
                      </pic:pic>
                    </a:graphicData>
                  </a:graphic>
                </wp:inline>
              </w:drawing>
            </w:r>
          </w:p>
        </w:tc>
        <w:tc>
          <w:tcPr>
            <w:tcW w:w="7212" w:type="dxa"/>
            <w:vAlign w:val="center"/>
          </w:tcPr>
          <w:p w14:paraId="41AC5A89" w14:textId="77777777" w:rsidR="00305CCA" w:rsidRDefault="00305CCA" w:rsidP="00305CCA"/>
          <w:p w14:paraId="7421CC59" w14:textId="36DC5EBC" w:rsidR="00FC1D78" w:rsidRDefault="00FC1D78" w:rsidP="00305CCA">
            <w:r>
              <w:t>Fachaufsat</w:t>
            </w:r>
            <w:r w:rsidR="000E6455">
              <w:t>z „</w:t>
            </w:r>
            <w:r>
              <w:t>Die Rolle von Banken, Nichtbanken und Zentralbank im Geldschöpfungsprozess</w:t>
            </w:r>
            <w:r w:rsidR="000E6455">
              <w:t>“</w:t>
            </w:r>
            <w:r>
              <w:t xml:space="preserve">, Monatsbericht der Deutschen Bundesbank April 2017, Seite 15 </w:t>
            </w:r>
            <w:r w:rsidR="00080FF6">
              <w:t>-</w:t>
            </w:r>
            <w:r>
              <w:t xml:space="preserve"> </w:t>
            </w:r>
            <w:r w:rsidR="00A37F05">
              <w:t>36</w:t>
            </w:r>
          </w:p>
          <w:p w14:paraId="2B430FF4" w14:textId="77777777" w:rsidR="000E6455" w:rsidRDefault="000E6455" w:rsidP="00305CCA"/>
          <w:p w14:paraId="7F18E48F" w14:textId="0535E406" w:rsidR="00FC1D78" w:rsidRDefault="004E407D" w:rsidP="004E407D">
            <w:pPr>
              <w:suppressAutoHyphens/>
            </w:pPr>
            <w:hyperlink r:id="rId20" w:history="1">
              <w:r w:rsidR="00A37F05" w:rsidRPr="003104E6">
                <w:rPr>
                  <w:rStyle w:val="Hyperlink"/>
                </w:rPr>
                <w:t>https://www.bundesbank.de/resource/blob/614448/c0acb63e33120467bbb3615</w:t>
              </w:r>
              <w:r w:rsidR="00A37F05" w:rsidRPr="003104E6">
                <w:rPr>
                  <w:rStyle w:val="Hyperlink"/>
                </w:rPr>
                <w:t>c</w:t>
              </w:r>
              <w:r w:rsidR="00A37F05" w:rsidRPr="003104E6">
                <w:rPr>
                  <w:rStyle w:val="Hyperlink"/>
                </w:rPr>
                <w:t>63dc7e1a/mL/2017-04-geldschoepfungsprozess-data.pdf</w:t>
              </w:r>
            </w:hyperlink>
          </w:p>
          <w:p w14:paraId="05698915" w14:textId="77777777" w:rsidR="000E6455" w:rsidRDefault="000E6455" w:rsidP="00305CCA"/>
          <w:p w14:paraId="1E8CF18E" w14:textId="2FC79F91" w:rsidR="009863EC" w:rsidRPr="00C74C67" w:rsidRDefault="007E6F0F" w:rsidP="00305CCA">
            <w:r>
              <w:t>(Zugriff am 08.01.2022)</w:t>
            </w:r>
          </w:p>
        </w:tc>
      </w:tr>
    </w:tbl>
    <w:p w14:paraId="3259E443" w14:textId="17B7A781" w:rsidR="00E34B7B" w:rsidRDefault="00E34B7B">
      <w:pPr>
        <w:rPr>
          <w:rFonts w:ascii="Times New Roman" w:eastAsia="Times New Roman" w:hAnsi="Times New Roman" w:cs="Times New Roman"/>
          <w:i/>
          <w:vanish/>
          <w:color w:val="FF0000"/>
          <w:szCs w:val="20"/>
          <w:lang w:eastAsia="de-DE"/>
        </w:rPr>
      </w:pPr>
      <w:r>
        <w:rPr>
          <w:rFonts w:ascii="Times New Roman" w:hAnsi="Times New Roman"/>
          <w:i/>
          <w:vanish/>
          <w:color w:val="FF0000"/>
        </w:rPr>
        <w:br w:type="page"/>
      </w:r>
    </w:p>
    <w:p w14:paraId="6EA13C5A" w14:textId="77777777" w:rsidR="001458AF" w:rsidRPr="002A1AFF" w:rsidRDefault="001458AF" w:rsidP="001458AF">
      <w:pPr>
        <w:pStyle w:val="TextkrperGrauhinterlegt"/>
        <w:shd w:val="clear" w:color="auto" w:fill="F2F2F2" w:themeFill="background1" w:themeFillShade="F2"/>
        <w:rPr>
          <w:rFonts w:ascii="Times New Roman" w:hAnsi="Times New Roman"/>
          <w:b/>
          <w:i/>
          <w:vanish/>
          <w:color w:val="FF0000"/>
        </w:rPr>
      </w:pPr>
      <w:bookmarkStart w:id="4" w:name="_Hlk58322575"/>
      <w:r w:rsidRPr="002A1AFF">
        <w:rPr>
          <w:rFonts w:ascii="Times New Roman" w:hAnsi="Times New Roman"/>
          <w:b/>
          <w:i/>
          <w:vanish/>
          <w:color w:val="FF0000"/>
        </w:rPr>
        <w:lastRenderedPageBreak/>
        <w:t>Didaktisch-methodische Hinweise</w:t>
      </w:r>
    </w:p>
    <w:bookmarkEnd w:id="4"/>
    <w:p w14:paraId="1D01A880" w14:textId="7ED78DC4" w:rsidR="0031464C" w:rsidRPr="002A1AFF" w:rsidRDefault="0031464C" w:rsidP="007C3A73">
      <w:pPr>
        <w:pStyle w:val="TabelleAufzhlung"/>
        <w:numPr>
          <w:ilvl w:val="0"/>
          <w:numId w:val="0"/>
        </w:numPr>
        <w:spacing w:after="60" w:line="276" w:lineRule="auto"/>
        <w:ind w:left="284" w:hanging="284"/>
        <w:jc w:val="both"/>
        <w:rPr>
          <w:rFonts w:ascii="Times New Roman" w:hAnsi="Times New Roman"/>
          <w:i/>
          <w:vanish/>
          <w:color w:val="FF0000"/>
        </w:rPr>
      </w:pPr>
      <w:r w:rsidRPr="002A1AFF">
        <w:rPr>
          <w:rFonts w:ascii="Times New Roman" w:hAnsi="Times New Roman"/>
          <w:i/>
          <w:vanish/>
          <w:color w:val="FF0000"/>
        </w:rPr>
        <w:t>Auszug aus der Zielanalyse</w:t>
      </w:r>
    </w:p>
    <w:p w14:paraId="78DBD1A7" w14:textId="77777777" w:rsidR="00710B1A" w:rsidRPr="002A1AFF" w:rsidRDefault="00710B1A" w:rsidP="007C3A73">
      <w:pPr>
        <w:pStyle w:val="TabelleAufzhlung"/>
        <w:numPr>
          <w:ilvl w:val="0"/>
          <w:numId w:val="0"/>
        </w:numPr>
        <w:spacing w:after="60" w:line="276" w:lineRule="auto"/>
        <w:jc w:val="both"/>
        <w:rPr>
          <w:rFonts w:ascii="Times New Roman" w:hAnsi="Times New Roman"/>
          <w:i/>
          <w:vanish/>
          <w:color w:val="FF0000"/>
        </w:rPr>
      </w:pPr>
    </w:p>
    <w:p w14:paraId="579C011C" w14:textId="5FADD247" w:rsidR="00B84369" w:rsidRDefault="00095110" w:rsidP="007C3A73">
      <w:pPr>
        <w:pStyle w:val="TabelleAufzhlung"/>
        <w:numPr>
          <w:ilvl w:val="0"/>
          <w:numId w:val="0"/>
        </w:numPr>
        <w:spacing w:after="60" w:line="276" w:lineRule="auto"/>
        <w:jc w:val="both"/>
        <w:rPr>
          <w:rFonts w:ascii="Times New Roman" w:hAnsi="Times New Roman"/>
          <w:i/>
          <w:vanish/>
          <w:color w:val="FF0000"/>
        </w:rPr>
      </w:pPr>
      <w:r w:rsidRPr="00095110">
        <w:rPr>
          <w:rFonts w:ascii="Times New Roman" w:hAnsi="Times New Roman"/>
          <w:i/>
          <w:noProof/>
          <w:vanish/>
          <w:color w:val="FF0000"/>
        </w:rPr>
        <w:drawing>
          <wp:inline distT="0" distB="0" distL="0" distR="0" wp14:anchorId="2A68E109" wp14:editId="246EAA0C">
            <wp:extent cx="6120130" cy="3306445"/>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3306445"/>
                    </a:xfrm>
                    <a:prstGeom prst="rect">
                      <a:avLst/>
                    </a:prstGeom>
                  </pic:spPr>
                </pic:pic>
              </a:graphicData>
            </a:graphic>
          </wp:inline>
        </w:drawing>
      </w:r>
    </w:p>
    <w:p w14:paraId="2879A23B" w14:textId="77777777" w:rsidR="008532E8" w:rsidRPr="008E4AEC" w:rsidRDefault="008532E8" w:rsidP="007C3A73">
      <w:pPr>
        <w:pStyle w:val="TabelleAufzhlung"/>
        <w:numPr>
          <w:ilvl w:val="0"/>
          <w:numId w:val="0"/>
        </w:numPr>
        <w:spacing w:after="60" w:line="276" w:lineRule="auto"/>
        <w:jc w:val="both"/>
        <w:rPr>
          <w:rFonts w:ascii="Times New Roman" w:hAnsi="Times New Roman"/>
          <w:i/>
          <w:vanish/>
          <w:color w:val="FF0000"/>
        </w:rPr>
      </w:pPr>
    </w:p>
    <w:p w14:paraId="2482BB3D" w14:textId="77777777" w:rsidR="00B008AA" w:rsidRPr="008E4AEC" w:rsidRDefault="00B008AA" w:rsidP="00B008AA">
      <w:pPr>
        <w:rPr>
          <w:rFonts w:ascii="Times New Roman" w:hAnsi="Times New Roman"/>
          <w:i/>
          <w:vanish/>
          <w:color w:val="FF0000"/>
        </w:rPr>
      </w:pPr>
      <w:r w:rsidRPr="008E4AEC">
        <w:rPr>
          <w:rFonts w:ascii="Times New Roman" w:hAnsi="Times New Roman"/>
          <w:i/>
          <w:vanish/>
          <w:color w:val="FF0000"/>
        </w:rPr>
        <w:t>Ideen für den Unterrichtseinstieg</w:t>
      </w:r>
    </w:p>
    <w:p w14:paraId="1BFA717E" w14:textId="77777777" w:rsidR="00080FF6" w:rsidRDefault="00B008AA" w:rsidP="00080FF6">
      <w:pPr>
        <w:pStyle w:val="Listenabsatz"/>
        <w:numPr>
          <w:ilvl w:val="0"/>
          <w:numId w:val="24"/>
        </w:numPr>
        <w:rPr>
          <w:rFonts w:ascii="Times New Roman" w:hAnsi="Times New Roman"/>
          <w:i/>
          <w:vanish/>
          <w:color w:val="FF0000"/>
        </w:rPr>
      </w:pPr>
      <w:r w:rsidRPr="008E4AEC">
        <w:rPr>
          <w:rFonts w:ascii="Times New Roman" w:hAnsi="Times New Roman"/>
          <w:i/>
          <w:vanish/>
          <w:color w:val="FF0000"/>
        </w:rPr>
        <w:t>Karikatur zum Thema Negativzinsen</w:t>
      </w:r>
      <w:r w:rsidR="00080FF6">
        <w:rPr>
          <w:rFonts w:ascii="Times New Roman" w:hAnsi="Times New Roman"/>
          <w:i/>
          <w:vanish/>
          <w:color w:val="FF0000"/>
        </w:rPr>
        <w:t>, z. B.</w:t>
      </w:r>
    </w:p>
    <w:p w14:paraId="7120984F" w14:textId="1D49E840" w:rsidR="00080FF6" w:rsidRDefault="004E407D" w:rsidP="00B008AA">
      <w:pPr>
        <w:pStyle w:val="Listenabsatz"/>
        <w:rPr>
          <w:rStyle w:val="Hyperlink"/>
          <w:rFonts w:ascii="Times New Roman" w:hAnsi="Times New Roman"/>
          <w:i/>
          <w:vanish/>
          <w:color w:val="FF0000"/>
        </w:rPr>
      </w:pPr>
      <w:hyperlink r:id="rId22" w:history="1">
        <w:r w:rsidR="00080FF6" w:rsidRPr="00EB168D">
          <w:rPr>
            <w:rStyle w:val="Hyperlink"/>
            <w:rFonts w:ascii="Times New Roman" w:hAnsi="Times New Roman"/>
            <w:i/>
            <w:vanish/>
            <w:color w:val="FF0000"/>
          </w:rPr>
          <w:t>https://www.pinterest.de/pin/323485185715811089/</w:t>
        </w:r>
      </w:hyperlink>
    </w:p>
    <w:p w14:paraId="375FB019" w14:textId="5E351089" w:rsidR="00535684" w:rsidRPr="00535684" w:rsidRDefault="00535684" w:rsidP="00B008AA">
      <w:pPr>
        <w:pStyle w:val="Listenabsatz"/>
        <w:rPr>
          <w:rFonts w:ascii="Times New Roman" w:hAnsi="Times New Roman"/>
          <w:i/>
          <w:vanish/>
          <w:color w:val="FF0000"/>
        </w:rPr>
      </w:pPr>
      <w:r w:rsidRPr="00535684">
        <w:rPr>
          <w:rFonts w:ascii="Times New Roman" w:hAnsi="Times New Roman"/>
          <w:i/>
          <w:vanish/>
          <w:color w:val="FF0000"/>
        </w:rPr>
        <w:t>(Zugriff am 17.03.2022)</w:t>
      </w:r>
    </w:p>
    <w:p w14:paraId="387E7B06" w14:textId="77777777" w:rsidR="00EB168D" w:rsidRPr="008E4AEC" w:rsidRDefault="00EB168D" w:rsidP="00B008AA">
      <w:pPr>
        <w:pStyle w:val="Listenabsatz"/>
        <w:rPr>
          <w:rFonts w:ascii="Times New Roman" w:hAnsi="Times New Roman"/>
          <w:i/>
          <w:vanish/>
          <w:color w:val="FF0000"/>
        </w:rPr>
      </w:pPr>
    </w:p>
    <w:p w14:paraId="647C2EFD" w14:textId="77777777" w:rsidR="008532E8" w:rsidRDefault="00B008AA" w:rsidP="00B008AA">
      <w:pPr>
        <w:pStyle w:val="Listenabsatz"/>
        <w:numPr>
          <w:ilvl w:val="0"/>
          <w:numId w:val="24"/>
        </w:numPr>
        <w:rPr>
          <w:rFonts w:ascii="Times New Roman" w:hAnsi="Times New Roman"/>
          <w:i/>
          <w:vanish/>
          <w:color w:val="FF0000"/>
        </w:rPr>
      </w:pPr>
      <w:r w:rsidRPr="008E4AEC">
        <w:rPr>
          <w:rFonts w:ascii="Times New Roman" w:hAnsi="Times New Roman"/>
          <w:i/>
          <w:vanish/>
          <w:color w:val="FF0000"/>
        </w:rPr>
        <w:t xml:space="preserve">Zitat von Wladimir Iljitsch Lenin (1870-1924), russischer kommunistischer Politiker und </w:t>
      </w:r>
      <w:r w:rsidRPr="008532E8">
        <w:rPr>
          <w:rFonts w:ascii="Times New Roman" w:hAnsi="Times New Roman"/>
          <w:i/>
          <w:vanish/>
          <w:color w:val="FF0000"/>
        </w:rPr>
        <w:t>Revolutionär sowie marxistischer Theoretiker, der betonte, um die bürgerliche Ordnung zu erschüttern, müsse man das Geldsystem ruinieren:</w:t>
      </w:r>
    </w:p>
    <w:p w14:paraId="5648B5E8" w14:textId="77777777" w:rsidR="008532E8" w:rsidRDefault="008532E8" w:rsidP="008532E8">
      <w:pPr>
        <w:pStyle w:val="Listenabsatz"/>
        <w:rPr>
          <w:rFonts w:ascii="Times New Roman" w:hAnsi="Times New Roman"/>
          <w:i/>
          <w:vanish/>
          <w:color w:val="FF0000"/>
        </w:rPr>
      </w:pPr>
    </w:p>
    <w:p w14:paraId="2E594DEE" w14:textId="0E47099E" w:rsidR="00B008AA" w:rsidRPr="008532E8" w:rsidRDefault="00B008AA" w:rsidP="008532E8">
      <w:pPr>
        <w:pStyle w:val="Listenabsatz"/>
        <w:rPr>
          <w:rFonts w:ascii="Times New Roman" w:hAnsi="Times New Roman"/>
          <w:i/>
          <w:vanish/>
          <w:color w:val="FF0000"/>
        </w:rPr>
      </w:pPr>
      <w:r w:rsidRPr="008532E8">
        <w:rPr>
          <w:rFonts w:ascii="Times New Roman" w:hAnsi="Times New Roman"/>
          <w:i/>
          <w:vanish/>
          <w:color w:val="FF0000"/>
        </w:rPr>
        <w:t>„Wer die Kapitalisten vernichten will, muss ihre Währung zerstören.“</w:t>
      </w:r>
    </w:p>
    <w:p w14:paraId="5D9FADA1" w14:textId="78792EF5" w:rsidR="00B008AA" w:rsidRDefault="00B008AA" w:rsidP="007C3A73">
      <w:pPr>
        <w:pStyle w:val="TabelleAufzhlung"/>
        <w:numPr>
          <w:ilvl w:val="0"/>
          <w:numId w:val="0"/>
        </w:numPr>
        <w:spacing w:after="60" w:line="276" w:lineRule="auto"/>
        <w:jc w:val="both"/>
        <w:rPr>
          <w:rFonts w:ascii="Times New Roman" w:hAnsi="Times New Roman"/>
          <w:i/>
          <w:vanish/>
          <w:color w:val="FF0000"/>
        </w:rPr>
      </w:pPr>
    </w:p>
    <w:p w14:paraId="0FE27A4D" w14:textId="26AAF7B8" w:rsidR="005C0699" w:rsidRPr="002A1AFF" w:rsidRDefault="005C0699" w:rsidP="007C3A73">
      <w:pPr>
        <w:pStyle w:val="TabelleAufzhlung"/>
        <w:numPr>
          <w:ilvl w:val="0"/>
          <w:numId w:val="0"/>
        </w:numPr>
        <w:spacing w:after="60" w:line="276" w:lineRule="auto"/>
        <w:jc w:val="both"/>
        <w:rPr>
          <w:rFonts w:ascii="Times New Roman" w:hAnsi="Times New Roman"/>
          <w:i/>
          <w:vanish/>
          <w:color w:val="FF0000"/>
        </w:rPr>
      </w:pPr>
      <w:bookmarkStart w:id="5" w:name="_Hlk58322582"/>
      <w:r w:rsidRPr="002A1AFF">
        <w:rPr>
          <w:rFonts w:ascii="Times New Roman" w:hAnsi="Times New Roman"/>
          <w:i/>
          <w:vanish/>
          <w:color w:val="FF0000"/>
        </w:rPr>
        <w:t xml:space="preserve">Phasen der vollständigen Handlung </w:t>
      </w:r>
    </w:p>
    <w:p w14:paraId="0DDAEAB6" w14:textId="2AA17B0A" w:rsidR="00B37697" w:rsidRPr="002A1AFF" w:rsidRDefault="00B37697" w:rsidP="007C3A73">
      <w:pPr>
        <w:pStyle w:val="TabelleAufzhlung"/>
        <w:numPr>
          <w:ilvl w:val="0"/>
          <w:numId w:val="0"/>
        </w:numPr>
        <w:spacing w:after="60" w:line="276" w:lineRule="auto"/>
        <w:jc w:val="both"/>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FA5646" w:rsidRPr="002A1AFF" w14:paraId="1CEE4522" w14:textId="77777777" w:rsidTr="008A7905">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0E6906" w14:textId="77777777"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DFF608" w14:textId="77777777"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Hinweise zur Umsetzung</w:t>
            </w:r>
          </w:p>
        </w:tc>
      </w:tr>
      <w:tr w:rsidR="00FA5646" w:rsidRPr="002A1AFF" w14:paraId="2202439E"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7BDEF3FA" w14:textId="77777777"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3342BABA" w14:textId="70E3674E"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Die Schülerinnen und Schüler informieren sich über die Ausgangssituation</w:t>
            </w:r>
            <w:r w:rsidR="009765EE">
              <w:rPr>
                <w:rFonts w:ascii="Times New Roman" w:hAnsi="Times New Roman"/>
                <w:i/>
                <w:vanish/>
                <w:color w:val="FF0000"/>
                <w:szCs w:val="22"/>
                <w:lang w:eastAsia="en-US"/>
              </w:rPr>
              <w:t xml:space="preserve"> und die Problemstellung, </w:t>
            </w:r>
            <w:r w:rsidR="00B84369">
              <w:rPr>
                <w:rFonts w:ascii="Times New Roman" w:hAnsi="Times New Roman"/>
                <w:i/>
                <w:vanish/>
                <w:color w:val="FF0000"/>
                <w:szCs w:val="22"/>
                <w:lang w:eastAsia="en-US"/>
              </w:rPr>
              <w:t>die Aufträge sowie die Sachdarstellungen im</w:t>
            </w:r>
            <w:r w:rsidRPr="002A1AFF">
              <w:rPr>
                <w:rFonts w:ascii="Times New Roman" w:hAnsi="Times New Roman"/>
                <w:i/>
                <w:vanish/>
                <w:color w:val="FF0000"/>
                <w:szCs w:val="22"/>
                <w:lang w:eastAsia="en-US"/>
              </w:rPr>
              <w:t xml:space="preserve"> Datenkranz.</w:t>
            </w:r>
          </w:p>
        </w:tc>
      </w:tr>
      <w:tr w:rsidR="00FA5646" w:rsidRPr="002A1AFF" w14:paraId="07AD2791"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4BE8DA44" w14:textId="77777777"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197C5591" w14:textId="6A390F59" w:rsidR="008532E8" w:rsidRDefault="00FA5646" w:rsidP="008532E8">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 xml:space="preserve">Die Schülerinnen und Schüler planen ihre Vorgehensweise. Sie überlegen, welche </w:t>
            </w:r>
            <w:r w:rsidR="00D25005">
              <w:rPr>
                <w:rFonts w:ascii="Times New Roman" w:hAnsi="Times New Roman"/>
                <w:i/>
                <w:vanish/>
                <w:color w:val="FF0000"/>
                <w:szCs w:val="22"/>
                <w:lang w:eastAsia="en-US"/>
              </w:rPr>
              <w:t>Sachdarstellungen i</w:t>
            </w:r>
            <w:r w:rsidR="008532E8">
              <w:rPr>
                <w:rFonts w:ascii="Times New Roman" w:hAnsi="Times New Roman"/>
                <w:i/>
                <w:vanish/>
                <w:color w:val="FF0000"/>
                <w:szCs w:val="22"/>
                <w:lang w:eastAsia="en-US"/>
              </w:rPr>
              <w:t>m Datenkranz sie insbesondere</w:t>
            </w:r>
            <w:r w:rsidR="00D25005">
              <w:rPr>
                <w:rFonts w:ascii="Times New Roman" w:hAnsi="Times New Roman"/>
                <w:i/>
                <w:vanish/>
                <w:color w:val="FF0000"/>
                <w:szCs w:val="22"/>
                <w:lang w:eastAsia="en-US"/>
              </w:rPr>
              <w:t xml:space="preserve"> verwenden wollen und welche </w:t>
            </w:r>
            <w:r w:rsidRPr="002A1AFF">
              <w:rPr>
                <w:rFonts w:ascii="Times New Roman" w:hAnsi="Times New Roman"/>
                <w:i/>
                <w:vanish/>
                <w:color w:val="FF0000"/>
                <w:szCs w:val="22"/>
                <w:lang w:eastAsia="en-US"/>
              </w:rPr>
              <w:t>weiteren Quellen sie zur Recherche der erforderlichen Informationen im Hinblick auf die Erfüllung der Arbeitsaufträge heranziehen.</w:t>
            </w:r>
          </w:p>
          <w:p w14:paraId="3F0A42B0" w14:textId="16DD3F61" w:rsidR="009765EE" w:rsidRPr="002A1AFF" w:rsidRDefault="009765EE" w:rsidP="009641D6">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 xml:space="preserve">Sie erkennen, ob </w:t>
            </w:r>
            <w:r>
              <w:rPr>
                <w:rFonts w:ascii="Times New Roman" w:hAnsi="Times New Roman"/>
                <w:i/>
                <w:vanish/>
                <w:color w:val="FF0000"/>
                <w:szCs w:val="22"/>
                <w:lang w:eastAsia="en-US"/>
              </w:rPr>
              <w:t>s</w:t>
            </w:r>
            <w:r w:rsidR="009641D6">
              <w:rPr>
                <w:rFonts w:ascii="Times New Roman" w:hAnsi="Times New Roman"/>
                <w:i/>
                <w:vanish/>
                <w:color w:val="FF0000"/>
                <w:szCs w:val="22"/>
                <w:lang w:eastAsia="en-US"/>
              </w:rPr>
              <w:t>ie für die Bearbeitung der Aufträge</w:t>
            </w:r>
            <w:r w:rsidRPr="002A1AFF">
              <w:rPr>
                <w:rFonts w:ascii="Times New Roman" w:hAnsi="Times New Roman"/>
                <w:i/>
                <w:vanish/>
                <w:color w:val="FF0000"/>
                <w:szCs w:val="22"/>
                <w:lang w:eastAsia="en-US"/>
              </w:rPr>
              <w:t xml:space="preserve"> </w:t>
            </w:r>
            <w:r>
              <w:rPr>
                <w:rFonts w:ascii="Times New Roman" w:hAnsi="Times New Roman"/>
                <w:i/>
                <w:vanish/>
                <w:color w:val="FF0000"/>
                <w:szCs w:val="22"/>
                <w:lang w:eastAsia="en-US"/>
              </w:rPr>
              <w:t>ggf. noch darüber hinaus gehende</w:t>
            </w:r>
            <w:r w:rsidR="009641D6">
              <w:rPr>
                <w:rFonts w:ascii="Times New Roman" w:hAnsi="Times New Roman"/>
                <w:i/>
                <w:vanish/>
                <w:color w:val="FF0000"/>
                <w:szCs w:val="22"/>
                <w:lang w:eastAsia="en-US"/>
              </w:rPr>
              <w:t xml:space="preserve"> Materialien und Hilfen</w:t>
            </w:r>
            <w:r>
              <w:rPr>
                <w:rFonts w:ascii="Times New Roman" w:hAnsi="Times New Roman"/>
                <w:i/>
                <w:vanish/>
                <w:color w:val="FF0000"/>
                <w:szCs w:val="22"/>
                <w:lang w:eastAsia="en-US"/>
              </w:rPr>
              <w:t xml:space="preserve"> </w:t>
            </w:r>
            <w:r w:rsidRPr="002A1AFF">
              <w:rPr>
                <w:rFonts w:ascii="Times New Roman" w:hAnsi="Times New Roman"/>
                <w:i/>
                <w:vanish/>
                <w:color w:val="FF0000"/>
                <w:szCs w:val="22"/>
                <w:lang w:eastAsia="en-US"/>
              </w:rPr>
              <w:t>benötigen</w:t>
            </w:r>
            <w:r w:rsidR="009641D6">
              <w:rPr>
                <w:rFonts w:ascii="Times New Roman" w:hAnsi="Times New Roman"/>
                <w:i/>
                <w:vanish/>
                <w:color w:val="FF0000"/>
                <w:szCs w:val="22"/>
                <w:lang w:eastAsia="en-US"/>
              </w:rPr>
              <w:t>.</w:t>
            </w:r>
          </w:p>
        </w:tc>
      </w:tr>
      <w:tr w:rsidR="00FA5646" w:rsidRPr="002A1AFF" w14:paraId="3470A570"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18D3A00C" w14:textId="77777777"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lastRenderedPageBreak/>
              <w:t>Entscheiden</w:t>
            </w:r>
          </w:p>
        </w:tc>
        <w:tc>
          <w:tcPr>
            <w:tcW w:w="7558" w:type="dxa"/>
            <w:tcBorders>
              <w:top w:val="single" w:sz="4" w:space="0" w:color="auto"/>
              <w:left w:val="single" w:sz="4" w:space="0" w:color="auto"/>
              <w:bottom w:val="single" w:sz="4" w:space="0" w:color="auto"/>
              <w:right w:val="single" w:sz="4" w:space="0" w:color="auto"/>
            </w:tcBorders>
          </w:tcPr>
          <w:p w14:paraId="0F77C821" w14:textId="5A02F9A7" w:rsidR="009641D6"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 xml:space="preserve">Die Schülerinnen und Schüler legen sich für eine Vorgehensweise zur Erstellung der </w:t>
            </w:r>
            <w:r w:rsidR="00B84369">
              <w:rPr>
                <w:rFonts w:ascii="Times New Roman" w:hAnsi="Times New Roman"/>
                <w:i/>
                <w:vanish/>
                <w:color w:val="FF0000"/>
                <w:szCs w:val="22"/>
                <w:lang w:eastAsia="en-US"/>
              </w:rPr>
              <w:t>Präsentation</w:t>
            </w:r>
            <w:r w:rsidR="008532E8">
              <w:rPr>
                <w:rFonts w:ascii="Times New Roman" w:hAnsi="Times New Roman"/>
                <w:i/>
                <w:vanish/>
                <w:color w:val="FF0000"/>
                <w:szCs w:val="22"/>
                <w:lang w:eastAsia="en-US"/>
              </w:rPr>
              <w:t xml:space="preserve"> und der Anlagestrategie</w:t>
            </w:r>
            <w:r w:rsidRPr="002A1AFF">
              <w:rPr>
                <w:rFonts w:ascii="Times New Roman" w:hAnsi="Times New Roman"/>
                <w:i/>
                <w:vanish/>
                <w:color w:val="FF0000"/>
                <w:szCs w:val="22"/>
                <w:lang w:eastAsia="en-US"/>
              </w:rPr>
              <w:t xml:space="preserve"> fest. Dabei entscheiden </w:t>
            </w:r>
            <w:r w:rsidR="00AF43EC">
              <w:rPr>
                <w:rFonts w:ascii="Times New Roman" w:hAnsi="Times New Roman"/>
                <w:i/>
                <w:vanish/>
                <w:color w:val="FF0000"/>
                <w:szCs w:val="22"/>
                <w:lang w:eastAsia="en-US"/>
              </w:rPr>
              <w:t>s</w:t>
            </w:r>
            <w:r w:rsidRPr="002A1AFF">
              <w:rPr>
                <w:rFonts w:ascii="Times New Roman" w:hAnsi="Times New Roman"/>
                <w:i/>
                <w:vanish/>
                <w:color w:val="FF0000"/>
                <w:szCs w:val="22"/>
                <w:lang w:eastAsia="en-US"/>
              </w:rPr>
              <w:t xml:space="preserve">ie über die Nutzung der </w:t>
            </w:r>
            <w:r w:rsidR="00C90FB1">
              <w:rPr>
                <w:rFonts w:ascii="Times New Roman" w:hAnsi="Times New Roman"/>
                <w:i/>
                <w:vanish/>
                <w:color w:val="FF0000"/>
                <w:szCs w:val="22"/>
                <w:lang w:eastAsia="en-US"/>
              </w:rPr>
              <w:t xml:space="preserve">Sachdarstellungen im Datenkranz sowie der </w:t>
            </w:r>
            <w:r w:rsidRPr="002A1AFF">
              <w:rPr>
                <w:rFonts w:ascii="Times New Roman" w:hAnsi="Times New Roman"/>
                <w:i/>
                <w:vanish/>
                <w:color w:val="FF0000"/>
                <w:szCs w:val="22"/>
                <w:lang w:eastAsia="en-US"/>
              </w:rPr>
              <w:t>weiteren Informationsquellen (Erklärvideos</w:t>
            </w:r>
            <w:r w:rsidR="00B84369">
              <w:rPr>
                <w:rFonts w:ascii="Times New Roman" w:hAnsi="Times New Roman"/>
                <w:i/>
                <w:vanish/>
                <w:color w:val="FF0000"/>
                <w:szCs w:val="22"/>
                <w:lang w:eastAsia="en-US"/>
              </w:rPr>
              <w:t xml:space="preserve"> und Materialien der Deutschen Bundesbank</w:t>
            </w:r>
            <w:r w:rsidRPr="002A1AFF">
              <w:rPr>
                <w:rFonts w:ascii="Times New Roman" w:hAnsi="Times New Roman"/>
                <w:i/>
                <w:vanish/>
                <w:color w:val="FF0000"/>
                <w:szCs w:val="22"/>
                <w:lang w:eastAsia="en-US"/>
              </w:rPr>
              <w:t>).</w:t>
            </w:r>
          </w:p>
          <w:p w14:paraId="2B57679E" w14:textId="498E1F47" w:rsidR="00FA5646" w:rsidRDefault="009641D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Bei Bedarf entscheiden sich die Schülerinnen und Schüler (ggf. mit Unterstützung der Lehrkraft) für die Nutzung weiterer Materialien und Hilfen (Möglichkeiten siehe unten „Methodische Hinweise zu Auftrag 1“).</w:t>
            </w:r>
          </w:p>
          <w:p w14:paraId="0E8A8F4C" w14:textId="77777777" w:rsidR="008532E8" w:rsidRDefault="008532E8" w:rsidP="008532E8">
            <w:pPr>
              <w:pStyle w:val="TabelleAufzhlung"/>
              <w:numPr>
                <w:ilvl w:val="0"/>
                <w:numId w:val="0"/>
              </w:numPr>
              <w:spacing w:after="60" w:line="276" w:lineRule="auto"/>
              <w:ind w:left="34"/>
              <w:jc w:val="both"/>
              <w:rPr>
                <w:rFonts w:ascii="Times New Roman" w:hAnsi="Times New Roman"/>
                <w:i/>
                <w:vanish/>
                <w:color w:val="FF0000"/>
                <w:szCs w:val="22"/>
                <w:lang w:eastAsia="en-US"/>
              </w:rPr>
            </w:pPr>
          </w:p>
          <w:p w14:paraId="748D91C6" w14:textId="00F333D5" w:rsidR="008532E8" w:rsidRDefault="009641D6" w:rsidP="008532E8">
            <w:pPr>
              <w:pStyle w:val="TabelleAufzhlung"/>
              <w:numPr>
                <w:ilvl w:val="0"/>
                <w:numId w:val="0"/>
              </w:numPr>
              <w:spacing w:after="60" w:line="276" w:lineRule="auto"/>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 xml:space="preserve">Möglichkeiten der </w:t>
            </w:r>
            <w:r w:rsidR="008532E8" w:rsidRPr="002A1AFF">
              <w:rPr>
                <w:rFonts w:ascii="Times New Roman" w:hAnsi="Times New Roman"/>
                <w:i/>
                <w:vanish/>
                <w:color w:val="FF0000"/>
                <w:szCs w:val="22"/>
                <w:lang w:eastAsia="en-US"/>
              </w:rPr>
              <w:t>Binnendifferenzierung:</w:t>
            </w:r>
          </w:p>
          <w:p w14:paraId="1189668B" w14:textId="56745A1D" w:rsidR="008532E8" w:rsidRDefault="004921C3" w:rsidP="008532E8">
            <w:pPr>
              <w:pStyle w:val="TabelleAufzhlung"/>
              <w:numPr>
                <w:ilvl w:val="0"/>
                <w:numId w:val="29"/>
              </w:numPr>
              <w:spacing w:after="60" w:line="276" w:lineRule="auto"/>
              <w:jc w:val="both"/>
              <w:rPr>
                <w:rFonts w:ascii="Times New Roman" w:hAnsi="Times New Roman"/>
                <w:i/>
                <w:vanish/>
                <w:color w:val="FF0000"/>
                <w:szCs w:val="22"/>
                <w:lang w:eastAsia="en-US"/>
              </w:rPr>
            </w:pPr>
            <w:r>
              <w:rPr>
                <w:rFonts w:ascii="Times New Roman" w:hAnsi="Times New Roman"/>
                <w:i/>
                <w:vanish/>
                <w:color w:val="FF0000"/>
                <w:szCs w:val="22"/>
                <w:lang w:eastAsia="en-US"/>
              </w:rPr>
              <w:t>Hilfekarten zur Präsentation</w:t>
            </w:r>
            <w:r w:rsidR="009641D6">
              <w:rPr>
                <w:rFonts w:ascii="Times New Roman" w:hAnsi="Times New Roman"/>
                <w:i/>
                <w:vanish/>
                <w:color w:val="FF0000"/>
                <w:szCs w:val="22"/>
                <w:lang w:eastAsia="en-US"/>
              </w:rPr>
              <w:t xml:space="preserve"> (Beispiele siehe ergänzendes Material)</w:t>
            </w:r>
          </w:p>
          <w:p w14:paraId="2FB719E1" w14:textId="456BE952" w:rsidR="008532E8" w:rsidRDefault="009641D6" w:rsidP="008532E8">
            <w:pPr>
              <w:pStyle w:val="TabelleAufzhlung"/>
              <w:numPr>
                <w:ilvl w:val="0"/>
                <w:numId w:val="29"/>
              </w:numPr>
              <w:spacing w:after="60" w:line="276" w:lineRule="auto"/>
              <w:jc w:val="both"/>
              <w:rPr>
                <w:rFonts w:ascii="Times New Roman" w:hAnsi="Times New Roman"/>
                <w:i/>
                <w:vanish/>
                <w:color w:val="FF0000"/>
                <w:szCs w:val="22"/>
                <w:lang w:eastAsia="en-US"/>
              </w:rPr>
            </w:pPr>
            <w:r>
              <w:rPr>
                <w:rFonts w:ascii="Times New Roman" w:hAnsi="Times New Roman"/>
                <w:i/>
                <w:vanish/>
                <w:color w:val="FF0000"/>
                <w:szCs w:val="22"/>
                <w:lang w:eastAsia="en-US"/>
              </w:rPr>
              <w:t>Einfachere und kürzere</w:t>
            </w:r>
            <w:r w:rsidR="008532E8">
              <w:rPr>
                <w:rFonts w:ascii="Times New Roman" w:hAnsi="Times New Roman"/>
                <w:i/>
                <w:vanish/>
                <w:color w:val="FF0000"/>
                <w:szCs w:val="22"/>
                <w:lang w:eastAsia="en-US"/>
              </w:rPr>
              <w:t xml:space="preserve"> Text</w:t>
            </w:r>
            <w:r>
              <w:rPr>
                <w:rFonts w:ascii="Times New Roman" w:hAnsi="Times New Roman"/>
                <w:i/>
                <w:vanish/>
                <w:color w:val="FF0000"/>
                <w:szCs w:val="22"/>
                <w:lang w:eastAsia="en-US"/>
              </w:rPr>
              <w:t>e</w:t>
            </w:r>
            <w:r w:rsidR="008532E8" w:rsidRPr="002A1AFF">
              <w:rPr>
                <w:rFonts w:ascii="Times New Roman" w:hAnsi="Times New Roman"/>
                <w:i/>
                <w:vanish/>
                <w:color w:val="FF0000"/>
                <w:szCs w:val="22"/>
                <w:lang w:eastAsia="en-US"/>
              </w:rPr>
              <w:t xml:space="preserve"> als </w:t>
            </w:r>
            <w:r>
              <w:rPr>
                <w:rFonts w:ascii="Times New Roman" w:hAnsi="Times New Roman"/>
                <w:i/>
                <w:vanish/>
                <w:color w:val="FF0000"/>
                <w:szCs w:val="22"/>
                <w:lang w:eastAsia="en-US"/>
              </w:rPr>
              <w:t>Alternativen (Beispiel siehe ergänzendes Material)</w:t>
            </w:r>
          </w:p>
          <w:p w14:paraId="09AFB2F2" w14:textId="3E0764A8" w:rsidR="008532E8" w:rsidRPr="008532E8" w:rsidRDefault="009641D6" w:rsidP="008532E8">
            <w:pPr>
              <w:pStyle w:val="Listenabsatz"/>
              <w:numPr>
                <w:ilvl w:val="0"/>
                <w:numId w:val="29"/>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Auftrag 2 nur </w:t>
            </w:r>
            <w:r w:rsidR="008532E8" w:rsidRPr="008532E8">
              <w:rPr>
                <w:rFonts w:ascii="Times New Roman" w:hAnsi="Times New Roman" w:cs="Times New Roman"/>
                <w:i/>
                <w:iCs/>
                <w:vanish/>
                <w:color w:val="FF0000"/>
              </w:rPr>
              <w:t>als Zusatzauftrag für leistungss</w:t>
            </w:r>
            <w:r>
              <w:rPr>
                <w:rFonts w:ascii="Times New Roman" w:hAnsi="Times New Roman" w:cs="Times New Roman"/>
                <w:i/>
                <w:iCs/>
                <w:vanish/>
                <w:color w:val="FF0000"/>
              </w:rPr>
              <w:t>tärkere Gruppen</w:t>
            </w:r>
          </w:p>
        </w:tc>
      </w:tr>
      <w:tr w:rsidR="00FA5646" w:rsidRPr="002A1AFF" w14:paraId="7BB0EB87"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60878404" w14:textId="77777777"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35D431FC" w14:textId="77777777" w:rsidR="00FA5646" w:rsidRDefault="00FA5646" w:rsidP="008532E8">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 xml:space="preserve">Die Schülerinnen und Schüler erstellen in strukturierter Form die für die </w:t>
            </w:r>
            <w:r w:rsidR="00B84369">
              <w:rPr>
                <w:rFonts w:ascii="Times New Roman" w:hAnsi="Times New Roman"/>
                <w:i/>
                <w:vanish/>
                <w:color w:val="FF0000"/>
                <w:szCs w:val="22"/>
                <w:lang w:eastAsia="en-US"/>
              </w:rPr>
              <w:t xml:space="preserve">Präsentation </w:t>
            </w:r>
            <w:r w:rsidRPr="002A1AFF">
              <w:rPr>
                <w:rFonts w:ascii="Times New Roman" w:hAnsi="Times New Roman"/>
                <w:i/>
                <w:vanish/>
                <w:color w:val="FF0000"/>
                <w:szCs w:val="22"/>
                <w:lang w:eastAsia="en-US"/>
              </w:rPr>
              <w:t>notwendigen Schaubilder</w:t>
            </w:r>
            <w:r w:rsidR="00B84369">
              <w:rPr>
                <w:rFonts w:ascii="Times New Roman" w:hAnsi="Times New Roman"/>
                <w:i/>
                <w:vanish/>
                <w:color w:val="FF0000"/>
                <w:szCs w:val="22"/>
                <w:lang w:eastAsia="en-US"/>
              </w:rPr>
              <w:t xml:space="preserve"> und Folien</w:t>
            </w:r>
            <w:r w:rsidR="008532E8">
              <w:rPr>
                <w:rFonts w:ascii="Times New Roman" w:hAnsi="Times New Roman"/>
                <w:i/>
                <w:vanish/>
                <w:color w:val="FF0000"/>
                <w:szCs w:val="22"/>
                <w:lang w:eastAsia="en-US"/>
              </w:rPr>
              <w:t xml:space="preserve"> und entwerfen eine Anlagestrategie.</w:t>
            </w:r>
          </w:p>
          <w:p w14:paraId="2E778212" w14:textId="77777777" w:rsidR="005F4BD1" w:rsidRDefault="005F4BD1" w:rsidP="008532E8">
            <w:pPr>
              <w:pStyle w:val="TabelleAufzhlung"/>
              <w:numPr>
                <w:ilvl w:val="0"/>
                <w:numId w:val="0"/>
              </w:numPr>
              <w:spacing w:after="60" w:line="276" w:lineRule="auto"/>
              <w:ind w:left="34"/>
              <w:jc w:val="both"/>
              <w:rPr>
                <w:rFonts w:ascii="Times New Roman" w:hAnsi="Times New Roman"/>
                <w:i/>
                <w:vanish/>
                <w:color w:val="FF0000"/>
                <w:szCs w:val="22"/>
                <w:lang w:eastAsia="en-US"/>
              </w:rPr>
            </w:pPr>
          </w:p>
          <w:p w14:paraId="65A4BB43" w14:textId="5A1FC8C9" w:rsidR="005F4BD1" w:rsidRPr="002A1AFF" w:rsidRDefault="000A5C00" w:rsidP="009641D6">
            <w:pPr>
              <w:pStyle w:val="TabelleAufzhlung"/>
              <w:numPr>
                <w:ilvl w:val="0"/>
                <w:numId w:val="0"/>
              </w:numPr>
              <w:spacing w:after="60" w:line="276" w:lineRule="auto"/>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Durch den Einsatz von Lesestrategien, den zusätzlichen Einsatz vereinfachter Versionen der Texte (siehe Beispiel im ergänzenden Material) und die Bearbeitung besonders schwieriger Texte nur durch leistungsstärkere Schülerinnen und Schüler, kann die Erarbeitung der umfangreichen Materialien methodisch unterstützt werden (siehe unten „Methodische Hinweise zu Auftrag 1“).</w:t>
            </w:r>
          </w:p>
        </w:tc>
      </w:tr>
      <w:tr w:rsidR="00FA5646" w:rsidRPr="002A1AFF" w14:paraId="4C6BFD45"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4D48935A" w14:textId="77777777"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35ADDD33" w14:textId="209614D5" w:rsidR="00FA5646"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 xml:space="preserve">Die Schülerinnen und Schüler präsentieren und kontrollieren </w:t>
            </w:r>
            <w:r w:rsidR="00AF43EC">
              <w:rPr>
                <w:rFonts w:ascii="Times New Roman" w:hAnsi="Times New Roman"/>
                <w:i/>
                <w:vanish/>
                <w:color w:val="FF0000"/>
                <w:szCs w:val="22"/>
                <w:lang w:eastAsia="en-US"/>
              </w:rPr>
              <w:t>i</w:t>
            </w:r>
            <w:r w:rsidRPr="002A1AFF">
              <w:rPr>
                <w:rFonts w:ascii="Times New Roman" w:hAnsi="Times New Roman"/>
                <w:i/>
                <w:vanish/>
                <w:color w:val="FF0000"/>
                <w:szCs w:val="22"/>
                <w:lang w:eastAsia="en-US"/>
              </w:rPr>
              <w:t>hre Handlungsergebnisse. Sie stellen bestehende Unterschiede fest und beurteilen die Abweichungen. Ggf. nehmen sie Korrekturen und Ergänzungen vor.</w:t>
            </w:r>
          </w:p>
          <w:p w14:paraId="5E9EED55" w14:textId="328756DF" w:rsidR="00D06521" w:rsidRDefault="00D06521"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p>
          <w:p w14:paraId="7449C087" w14:textId="6A14585D" w:rsidR="00D06521" w:rsidRPr="002A1AFF" w:rsidRDefault="00D06521" w:rsidP="00A15D07">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Die Schülerinnen und Schüler</w:t>
            </w:r>
            <w:r>
              <w:rPr>
                <w:rFonts w:ascii="Times New Roman" w:hAnsi="Times New Roman"/>
                <w:i/>
                <w:vanish/>
                <w:color w:val="FF0000"/>
                <w:szCs w:val="22"/>
                <w:lang w:eastAsia="en-US"/>
              </w:rPr>
              <w:t xml:space="preserve"> überlegen sich zur Kontrolle ihres Lernstandes Fragen und Aufgaben für ein Quiz </w:t>
            </w:r>
            <w:r w:rsidRPr="002A1AFF">
              <w:rPr>
                <w:rFonts w:ascii="Times New Roman" w:hAnsi="Times New Roman"/>
                <w:i/>
                <w:vanish/>
                <w:color w:val="FF0000"/>
                <w:szCs w:val="22"/>
                <w:lang w:eastAsia="en-US"/>
              </w:rPr>
              <w:t>(siehe ergänzendes Material).</w:t>
            </w:r>
            <w:r w:rsidR="004E2F09">
              <w:rPr>
                <w:rFonts w:ascii="Times New Roman" w:hAnsi="Times New Roman"/>
                <w:i/>
                <w:vanish/>
                <w:color w:val="FF0000"/>
                <w:szCs w:val="22"/>
                <w:lang w:eastAsia="en-US"/>
              </w:rPr>
              <w:t xml:space="preserve"> Diese Übungsaufgaben können </w:t>
            </w:r>
            <w:r w:rsidR="00A15D07">
              <w:rPr>
                <w:rFonts w:ascii="Times New Roman" w:hAnsi="Times New Roman"/>
                <w:i/>
                <w:vanish/>
                <w:color w:val="FF0000"/>
                <w:szCs w:val="22"/>
                <w:lang w:eastAsia="en-US"/>
              </w:rPr>
              <w:t>im Anschluss digital abgebildet werden, z. B. über kahoot, learningapps, H5P oder Alternativen.</w:t>
            </w:r>
          </w:p>
        </w:tc>
      </w:tr>
      <w:tr w:rsidR="00FA5646" w:rsidRPr="002A1AFF" w14:paraId="6F18A516"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65E00E37" w14:textId="77777777" w:rsidR="00FA5646" w:rsidRPr="002A1AFF" w:rsidRDefault="00FA5646" w:rsidP="007C3A73">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5F8E3F20" w14:textId="04E52BAE" w:rsidR="00FA5646" w:rsidRPr="002A1AFF" w:rsidRDefault="00FA5646" w:rsidP="00A15D07">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Die Schülerinnen und Schüler r</w:t>
            </w:r>
            <w:r w:rsidR="00A15D07">
              <w:rPr>
                <w:rFonts w:ascii="Times New Roman" w:hAnsi="Times New Roman"/>
                <w:i/>
                <w:vanish/>
                <w:color w:val="FF0000"/>
                <w:szCs w:val="22"/>
                <w:lang w:eastAsia="en-US"/>
              </w:rPr>
              <w:t>eflektieren ihre Planung und Vorgehensweise</w:t>
            </w:r>
            <w:r w:rsidRPr="002A1AFF">
              <w:rPr>
                <w:rFonts w:ascii="Times New Roman" w:hAnsi="Times New Roman"/>
                <w:i/>
                <w:vanish/>
                <w:color w:val="FF0000"/>
                <w:szCs w:val="22"/>
                <w:lang w:eastAsia="en-US"/>
              </w:rPr>
              <w:t xml:space="preserve"> </w:t>
            </w:r>
            <w:r w:rsidR="00A15D07">
              <w:rPr>
                <w:rFonts w:ascii="Times New Roman" w:hAnsi="Times New Roman"/>
                <w:i/>
                <w:vanish/>
                <w:color w:val="FF0000"/>
                <w:szCs w:val="22"/>
                <w:lang w:eastAsia="en-US"/>
              </w:rPr>
              <w:t>und erörtern Verbesserungsmöglichkeiten</w:t>
            </w:r>
            <w:r w:rsidRPr="002A1AFF">
              <w:rPr>
                <w:rFonts w:ascii="Times New Roman" w:hAnsi="Times New Roman"/>
                <w:i/>
                <w:vanish/>
                <w:color w:val="FF0000"/>
                <w:szCs w:val="22"/>
                <w:lang w:eastAsia="en-US"/>
              </w:rPr>
              <w:t>.</w:t>
            </w:r>
          </w:p>
        </w:tc>
      </w:tr>
      <w:bookmarkEnd w:id="5"/>
    </w:tbl>
    <w:p w14:paraId="7CA0CB7E" w14:textId="72AFED6A" w:rsidR="007C3A73" w:rsidRDefault="007C3A73" w:rsidP="007C3A73">
      <w:pPr>
        <w:spacing w:after="60" w:line="276" w:lineRule="auto"/>
        <w:jc w:val="both"/>
        <w:rPr>
          <w:rFonts w:ascii="Times New Roman" w:eastAsia="Times New Roman" w:hAnsi="Times New Roman" w:cs="Times New Roman"/>
          <w:i/>
          <w:vanish/>
          <w:color w:val="FF0000"/>
        </w:rPr>
      </w:pPr>
    </w:p>
    <w:p w14:paraId="6233EE25" w14:textId="7B000FFB" w:rsidR="005F4BD1" w:rsidRDefault="005F4BD1" w:rsidP="007C3A73">
      <w:pPr>
        <w:spacing w:after="60" w:line="276" w:lineRule="auto"/>
        <w:jc w:val="both"/>
        <w:rPr>
          <w:rFonts w:ascii="Times New Roman" w:eastAsia="Times New Roman" w:hAnsi="Times New Roman" w:cs="Times New Roman"/>
          <w:i/>
          <w:vanish/>
          <w:color w:val="FF0000"/>
        </w:rPr>
      </w:pPr>
    </w:p>
    <w:p w14:paraId="72E731A4" w14:textId="3FF6C9E2" w:rsidR="005F4BD1" w:rsidRDefault="005F4BD1" w:rsidP="005F4BD1">
      <w:pPr>
        <w:spacing w:after="60" w:line="276" w:lineRule="auto"/>
        <w:jc w:val="both"/>
        <w:rPr>
          <w:rFonts w:ascii="Times New Roman" w:hAnsi="Times New Roman" w:cs="Times New Roman"/>
          <w:i/>
          <w:iCs/>
          <w:vanish/>
          <w:color w:val="FF0000"/>
        </w:rPr>
      </w:pPr>
      <w:r w:rsidRPr="005F4BD1">
        <w:rPr>
          <w:rFonts w:ascii="Times New Roman" w:hAnsi="Times New Roman" w:cs="Times New Roman"/>
          <w:i/>
          <w:iCs/>
          <w:vanish/>
          <w:color w:val="FF0000"/>
        </w:rPr>
        <w:t xml:space="preserve">Methodische Hinweise zu </w:t>
      </w:r>
      <w:r>
        <w:rPr>
          <w:rFonts w:ascii="Times New Roman" w:hAnsi="Times New Roman" w:cs="Times New Roman"/>
          <w:i/>
          <w:iCs/>
          <w:vanish/>
          <w:color w:val="FF0000"/>
        </w:rPr>
        <w:t>Auftrag 1</w:t>
      </w:r>
    </w:p>
    <w:p w14:paraId="2A686281" w14:textId="77777777" w:rsidR="005F4BD1" w:rsidRDefault="005F4BD1" w:rsidP="005F4BD1">
      <w:pPr>
        <w:spacing w:after="60" w:line="276" w:lineRule="auto"/>
        <w:jc w:val="both"/>
        <w:rPr>
          <w:rFonts w:ascii="Times New Roman" w:hAnsi="Times New Roman" w:cs="Times New Roman"/>
          <w:i/>
          <w:iCs/>
          <w:vanish/>
          <w:color w:val="FF0000"/>
        </w:rPr>
      </w:pPr>
    </w:p>
    <w:p w14:paraId="0197C782" w14:textId="77777777" w:rsidR="005F4BD1" w:rsidRDefault="005F4BD1" w:rsidP="005F4BD1">
      <w:pPr>
        <w:pStyle w:val="Listenabsatz"/>
        <w:numPr>
          <w:ilvl w:val="0"/>
          <w:numId w:val="19"/>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Zum Umgang mit den Texten:</w:t>
      </w:r>
    </w:p>
    <w:p w14:paraId="36CD7522" w14:textId="5D799A79" w:rsidR="005F4BD1" w:rsidRDefault="005F4BD1" w:rsidP="005F4BD1">
      <w:pPr>
        <w:pStyle w:val="Listenabsatz"/>
        <w:numPr>
          <w:ilvl w:val="0"/>
          <w:numId w:val="20"/>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 xml:space="preserve">In Abhängigkeit der Leistungsfähigkeit der Klasse kann es sinnvoll sein, schwierigere Texte im Plenum zu erarbeiten. So könnte mit einem Durchgang des </w:t>
      </w:r>
      <w:r w:rsidRPr="00EE6EA1">
        <w:rPr>
          <w:rFonts w:ascii="Times New Roman" w:hAnsi="Times New Roman" w:cs="Times New Roman"/>
          <w:i/>
          <w:iCs/>
          <w:vanish/>
          <w:color w:val="FF0000"/>
        </w:rPr>
        <w:t>orientierenden Lesens</w:t>
      </w:r>
      <w:r>
        <w:rPr>
          <w:rFonts w:ascii="Times New Roman" w:hAnsi="Times New Roman" w:cs="Times New Roman"/>
          <w:i/>
          <w:iCs/>
          <w:vanish/>
          <w:color w:val="FF0000"/>
        </w:rPr>
        <w:t xml:space="preserve"> begonnen werden. Dabei lesen die Schülerinnen und Schüler den Text ohne Stift und Marker durch. Sie brauchen dabei nicht alles zu verstehen, sondern sollen nach dem Lesen das Blatt umdrehen und dann in einer Meldekette einen Satz sagen, den sie sinngemäß verstanden haben. Im Anschluss können die Schülerinnen und Schüler versuchen, den Text in e</w:t>
      </w:r>
      <w:r w:rsidR="00EE6EA1">
        <w:rPr>
          <w:rFonts w:ascii="Times New Roman" w:hAnsi="Times New Roman" w:cs="Times New Roman"/>
          <w:i/>
          <w:iCs/>
          <w:vanish/>
          <w:color w:val="FF0000"/>
        </w:rPr>
        <w:t>ine Struktur zu bringen, sich zehn</w:t>
      </w:r>
      <w:r>
        <w:rPr>
          <w:rFonts w:ascii="Times New Roman" w:hAnsi="Times New Roman" w:cs="Times New Roman"/>
          <w:i/>
          <w:iCs/>
          <w:vanish/>
          <w:color w:val="FF0000"/>
        </w:rPr>
        <w:t xml:space="preserve"> Stichwörter auf einer Karte zu notieren und dann eine freie Rede über den Inhalt des Textes zu halten.</w:t>
      </w:r>
    </w:p>
    <w:p w14:paraId="031367F5" w14:textId="5290779C" w:rsidR="005F4BD1" w:rsidRDefault="005F4BD1" w:rsidP="005F4BD1">
      <w:pPr>
        <w:pStyle w:val="Listenabsatz"/>
        <w:numPr>
          <w:ilvl w:val="0"/>
          <w:numId w:val="20"/>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lastRenderedPageBreak/>
        <w:t>Es kann auch sinnvoll sein, die Texte auf eine einfachere Form zu reduzieren (Beispiel</w:t>
      </w:r>
      <w:r w:rsidR="009641D6">
        <w:rPr>
          <w:rFonts w:ascii="Times New Roman" w:hAnsi="Times New Roman" w:cs="Times New Roman"/>
          <w:i/>
          <w:iCs/>
          <w:vanish/>
          <w:color w:val="FF0000"/>
        </w:rPr>
        <w:t>text</w:t>
      </w:r>
      <w:r>
        <w:rPr>
          <w:rFonts w:ascii="Times New Roman" w:hAnsi="Times New Roman" w:cs="Times New Roman"/>
          <w:i/>
          <w:iCs/>
          <w:vanish/>
          <w:color w:val="FF0000"/>
        </w:rPr>
        <w:t xml:space="preserve"> siehe ergänzendes Material).</w:t>
      </w:r>
    </w:p>
    <w:p w14:paraId="1A87CF57" w14:textId="77777777" w:rsidR="005F4BD1" w:rsidRDefault="005F4BD1" w:rsidP="005F4BD1">
      <w:pPr>
        <w:pStyle w:val="Listenabsatz"/>
        <w:numPr>
          <w:ilvl w:val="0"/>
          <w:numId w:val="20"/>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Denkbar ist auch, einen oder zwei Texte nur leistungsstärkeren Gruppen zu geben, die mit der Bearbeitung der anderen Materialien schneller vorangekommen sind. Hier bietet sich z. B. der Text zu den Auswirkungen der umfangreichen Geldschöpfung im Euroraum an.</w:t>
      </w:r>
    </w:p>
    <w:p w14:paraId="6729EBF6" w14:textId="77777777" w:rsidR="005F4BD1" w:rsidRPr="00575970" w:rsidRDefault="005F4BD1" w:rsidP="005F4BD1">
      <w:pPr>
        <w:spacing w:after="60" w:line="276" w:lineRule="auto"/>
        <w:ind w:left="833"/>
        <w:jc w:val="both"/>
        <w:rPr>
          <w:rFonts w:ascii="Times New Roman" w:hAnsi="Times New Roman" w:cs="Times New Roman"/>
          <w:i/>
          <w:iCs/>
          <w:vanish/>
          <w:color w:val="FF0000"/>
        </w:rPr>
      </w:pPr>
    </w:p>
    <w:p w14:paraId="6BF59939" w14:textId="1414E376" w:rsidR="000A5C00" w:rsidRPr="00767D38" w:rsidRDefault="005F4BD1" w:rsidP="00767D38">
      <w:pPr>
        <w:pStyle w:val="Listenabsatz"/>
        <w:numPr>
          <w:ilvl w:val="0"/>
          <w:numId w:val="19"/>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Zur Erstellung und Durchführung der Präsentation</w:t>
      </w:r>
    </w:p>
    <w:p w14:paraId="081E9EAD" w14:textId="77777777" w:rsidR="000A5C00" w:rsidRDefault="000A5C00" w:rsidP="000A5C00">
      <w:pPr>
        <w:pStyle w:val="Listenabsatz"/>
        <w:numPr>
          <w:ilvl w:val="0"/>
          <w:numId w:val="21"/>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Wenn sich Gruppen mit der Erstellung der Präsentation schwertun, können Hilfekarten (siehe ergänzendes Material) eingesetzt werden.</w:t>
      </w:r>
    </w:p>
    <w:p w14:paraId="26FE46AD" w14:textId="41BC404F" w:rsidR="005F4BD1" w:rsidRDefault="005F4BD1" w:rsidP="005F4BD1">
      <w:pPr>
        <w:pStyle w:val="Listenabsatz"/>
        <w:numPr>
          <w:ilvl w:val="0"/>
          <w:numId w:val="21"/>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Die umfangreiche Thematik bietet einen gewissen Ermessens- und Entscheidungsspielraum für die Schülerinnen und Schüler im Hinblick auf die Inhalte und die Gestaltung der Präsentation. Dadurch werden individuelle Lernwege und Schwerpunktsetzungen ermöglicht.</w:t>
      </w:r>
    </w:p>
    <w:p w14:paraId="03EA154C" w14:textId="77777777" w:rsidR="005F4BD1" w:rsidRDefault="005F4BD1" w:rsidP="005F4BD1">
      <w:pPr>
        <w:pStyle w:val="Listenabsatz"/>
        <w:numPr>
          <w:ilvl w:val="0"/>
          <w:numId w:val="21"/>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Es ist nicht erforderlich, dass alle Gruppen präsentieren. Im Lernfeld 10 sind bei verschiedenen Lernsituationen Präsentationen als Handlungsergebnisse vorgesehen. Damit kann zwischen den Gruppen, die präsentieren, abgewechselt werden.</w:t>
      </w:r>
    </w:p>
    <w:p w14:paraId="463FABCC" w14:textId="77777777" w:rsidR="005F4BD1" w:rsidRDefault="005F4BD1" w:rsidP="005F4BD1">
      <w:pPr>
        <w:pStyle w:val="Listenabsatz"/>
        <w:numPr>
          <w:ilvl w:val="0"/>
          <w:numId w:val="21"/>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Nach einer Präsentation kann eine gemeinsame Reflexionsphase anschließen, bei der die Gruppen, die nicht präsentiert haben, ihre Folien zeigen und mit den Folien der präsentierenden Gruppen vergleichen. Hier können dann Unterschiede diskutiert und reflektiert werden.</w:t>
      </w:r>
    </w:p>
    <w:p w14:paraId="13AE8AE0" w14:textId="77777777" w:rsidR="005F4BD1" w:rsidRDefault="005F4BD1" w:rsidP="005F4BD1">
      <w:pPr>
        <w:pStyle w:val="Listenabsatz"/>
        <w:numPr>
          <w:ilvl w:val="0"/>
          <w:numId w:val="21"/>
        </w:numPr>
        <w:spacing w:after="60" w:line="276" w:lineRule="auto"/>
        <w:jc w:val="both"/>
        <w:rPr>
          <w:rFonts w:ascii="Times New Roman" w:hAnsi="Times New Roman" w:cs="Times New Roman"/>
          <w:i/>
          <w:iCs/>
          <w:vanish/>
          <w:color w:val="FF0000"/>
        </w:rPr>
      </w:pPr>
      <w:r>
        <w:rPr>
          <w:rFonts w:ascii="Times New Roman" w:hAnsi="Times New Roman" w:cs="Times New Roman"/>
          <w:i/>
          <w:iCs/>
          <w:vanish/>
          <w:color w:val="FF0000"/>
        </w:rPr>
        <w:t>Falls bestimmte Texte (Themenaspekte) nicht von allen Gruppen erarbeitet werden konnten und leistungsstärkere Gruppen diese Texte in ihre Präsentation aufgenommen haben, können diese Teile noch von der leistungsstärkeren Gruppe präsentiert werden.</w:t>
      </w:r>
    </w:p>
    <w:p w14:paraId="4C720B24" w14:textId="3F70F91E" w:rsidR="005F4BD1" w:rsidRDefault="005F4BD1" w:rsidP="007C3A73">
      <w:pPr>
        <w:spacing w:after="60" w:line="276" w:lineRule="auto"/>
        <w:jc w:val="both"/>
        <w:rPr>
          <w:rFonts w:ascii="Times New Roman" w:eastAsia="Times New Roman" w:hAnsi="Times New Roman" w:cs="Times New Roman"/>
          <w:i/>
          <w:vanish/>
          <w:color w:val="FF0000"/>
        </w:rPr>
      </w:pPr>
    </w:p>
    <w:p w14:paraId="6F3D4386" w14:textId="77777777" w:rsidR="007C3A73" w:rsidRDefault="007C3A73">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br w:type="page"/>
      </w:r>
    </w:p>
    <w:p w14:paraId="03E3AC82" w14:textId="77777777" w:rsidR="00841DE0" w:rsidRPr="002A1AFF" w:rsidRDefault="00841DE0" w:rsidP="00841DE0">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i/>
          <w:vanish/>
          <w:color w:val="FF0000"/>
          <w:szCs w:val="20"/>
          <w:lang w:eastAsia="de-DE"/>
        </w:rPr>
      </w:pPr>
      <w:bookmarkStart w:id="6" w:name="_Hlk58313643"/>
      <w:r w:rsidRPr="002A1AFF">
        <w:rPr>
          <w:rFonts w:ascii="Times New Roman" w:eastAsia="Times New Roman" w:hAnsi="Times New Roman" w:cs="Times New Roman"/>
          <w:b/>
          <w:i/>
          <w:vanish/>
          <w:color w:val="FF0000"/>
          <w:szCs w:val="20"/>
          <w:lang w:eastAsia="de-DE"/>
        </w:rPr>
        <w:lastRenderedPageBreak/>
        <w:t>Ergänzendes Material</w:t>
      </w:r>
    </w:p>
    <w:bookmarkEnd w:id="6"/>
    <w:p w14:paraId="675D516B" w14:textId="73867759" w:rsidR="0036077D" w:rsidRPr="007C3A73" w:rsidRDefault="00DE19CF" w:rsidP="007C3A73">
      <w:pPr>
        <w:pStyle w:val="TabelleAufzhlung"/>
        <w:numPr>
          <w:ilvl w:val="0"/>
          <w:numId w:val="0"/>
        </w:numPr>
        <w:spacing w:after="60" w:line="276" w:lineRule="auto"/>
        <w:rPr>
          <w:rFonts w:ascii="Times New Roman" w:hAnsi="Times New Roman"/>
          <w:i/>
          <w:vanish/>
          <w:color w:val="FF0000"/>
        </w:rPr>
      </w:pPr>
      <w:r w:rsidRPr="007C3A73">
        <w:rPr>
          <w:rFonts w:ascii="Times New Roman" w:hAnsi="Times New Roman"/>
          <w:i/>
          <w:vanish/>
          <w:color w:val="FF0000"/>
        </w:rPr>
        <w:t>Einfacherer</w:t>
      </w:r>
      <w:r w:rsidR="00FD0561" w:rsidRPr="007C3A73">
        <w:rPr>
          <w:rFonts w:ascii="Times New Roman" w:hAnsi="Times New Roman"/>
          <w:i/>
          <w:vanish/>
          <w:color w:val="FF0000"/>
        </w:rPr>
        <w:t xml:space="preserve"> und kürzerer</w:t>
      </w:r>
      <w:r w:rsidRPr="007C3A73">
        <w:rPr>
          <w:rFonts w:ascii="Times New Roman" w:hAnsi="Times New Roman"/>
          <w:i/>
          <w:vanish/>
          <w:color w:val="FF0000"/>
        </w:rPr>
        <w:t xml:space="preserve"> </w:t>
      </w:r>
      <w:r w:rsidR="00B84369" w:rsidRPr="007C3A73">
        <w:rPr>
          <w:rFonts w:ascii="Times New Roman" w:hAnsi="Times New Roman"/>
          <w:i/>
          <w:vanish/>
          <w:color w:val="FF0000"/>
        </w:rPr>
        <w:t>Text „Geldschöpfung der Geschäftsbanken</w:t>
      </w:r>
      <w:r w:rsidR="00FD0561" w:rsidRPr="007C3A73">
        <w:rPr>
          <w:rFonts w:ascii="Times New Roman" w:hAnsi="Times New Roman"/>
          <w:i/>
          <w:vanish/>
          <w:color w:val="FF0000"/>
        </w:rPr>
        <w:t>“</w:t>
      </w:r>
      <w:r w:rsidR="00842CA9">
        <w:rPr>
          <w:rFonts w:ascii="Times New Roman" w:hAnsi="Times New Roman"/>
          <w:i/>
          <w:vanish/>
          <w:color w:val="FF0000"/>
        </w:rPr>
        <w:t>, bei dem aufgrund der leichteren Les</w:t>
      </w:r>
      <w:r w:rsidR="00A15D07">
        <w:rPr>
          <w:rFonts w:ascii="Times New Roman" w:hAnsi="Times New Roman"/>
          <w:i/>
          <w:vanish/>
          <w:color w:val="FF0000"/>
        </w:rPr>
        <w:t xml:space="preserve">barkeit auf das Gendern </w:t>
      </w:r>
      <w:r w:rsidR="00842CA9">
        <w:rPr>
          <w:rFonts w:ascii="Times New Roman" w:hAnsi="Times New Roman"/>
          <w:i/>
          <w:vanish/>
          <w:color w:val="FF0000"/>
        </w:rPr>
        <w:t>verzichtet wurde.</w:t>
      </w:r>
    </w:p>
    <w:p w14:paraId="51E6FC5D" w14:textId="041F19E3" w:rsidR="007C3A73" w:rsidRDefault="007C3A73" w:rsidP="008B7BE3">
      <w:pPr>
        <w:jc w:val="center"/>
        <w:rPr>
          <w:rFonts w:cs="Arial"/>
          <w:b/>
          <w:bCs/>
          <w:vanish/>
        </w:rPr>
      </w:pPr>
    </w:p>
    <w:tbl>
      <w:tblPr>
        <w:tblStyle w:val="Tabellenraster"/>
        <w:tblW w:w="0" w:type="auto"/>
        <w:tblLook w:val="04A0" w:firstRow="1" w:lastRow="0" w:firstColumn="1" w:lastColumn="0" w:noHBand="0" w:noVBand="1"/>
      </w:tblPr>
      <w:tblGrid>
        <w:gridCol w:w="9628"/>
      </w:tblGrid>
      <w:tr w:rsidR="00714485" w14:paraId="12D53921" w14:textId="77777777" w:rsidTr="00714485">
        <w:trPr>
          <w:hidden/>
        </w:trPr>
        <w:tc>
          <w:tcPr>
            <w:tcW w:w="9628" w:type="dxa"/>
          </w:tcPr>
          <w:p w14:paraId="5A34A3D0" w14:textId="5C9FA27A" w:rsidR="00714485" w:rsidRPr="00714485" w:rsidRDefault="00714485" w:rsidP="00714485">
            <w:pPr>
              <w:spacing w:before="240" w:after="240"/>
              <w:jc w:val="center"/>
              <w:rPr>
                <w:rFonts w:cs="Arial"/>
                <w:b/>
                <w:bCs/>
                <w:vanish/>
              </w:rPr>
            </w:pPr>
            <w:r w:rsidRPr="007C3A73">
              <w:rPr>
                <w:rFonts w:cs="Arial"/>
                <w:b/>
                <w:bCs/>
                <w:vanish/>
              </w:rPr>
              <w:t>Geldschöpfung der Geschäftsbanken</w:t>
            </w:r>
          </w:p>
          <w:p w14:paraId="307D3C41" w14:textId="77777777" w:rsidR="00714485" w:rsidRDefault="00714485" w:rsidP="00714485">
            <w:pPr>
              <w:rPr>
                <w:rFonts w:cs="Arial"/>
                <w:vanish/>
              </w:rPr>
            </w:pPr>
            <w:r w:rsidRPr="007C3A73">
              <w:rPr>
                <w:rFonts w:cs="Arial"/>
                <w:vanish/>
              </w:rPr>
              <w:t xml:space="preserve">Eine Volksbank, eine Sparkasse oder eine Privatbank braucht erst einmal </w:t>
            </w:r>
            <w:r w:rsidRPr="008B7BE3">
              <w:rPr>
                <w:rFonts w:cs="Arial"/>
                <w:b/>
                <w:vanish/>
              </w:rPr>
              <w:t>keine Einlagen</w:t>
            </w:r>
            <w:r w:rsidRPr="007C3A73">
              <w:rPr>
                <w:rFonts w:cs="Arial"/>
                <w:vanish/>
              </w:rPr>
              <w:t xml:space="preserve"> wie Festgelder oder Guthaben auf Sparkonten, </w:t>
            </w:r>
            <w:r w:rsidRPr="008B7BE3">
              <w:rPr>
                <w:rFonts w:cs="Arial"/>
                <w:b/>
                <w:vanish/>
              </w:rPr>
              <w:t>damit sie einen Kredit vergeben kann</w:t>
            </w:r>
            <w:r w:rsidRPr="007C3A73">
              <w:rPr>
                <w:rFonts w:cs="Arial"/>
                <w:vanish/>
              </w:rPr>
              <w:t xml:space="preserve">. Allein </w:t>
            </w:r>
            <w:r w:rsidRPr="008B7BE3">
              <w:rPr>
                <w:rFonts w:cs="Arial"/>
                <w:b/>
                <w:vanish/>
              </w:rPr>
              <w:t>eine Buchung</w:t>
            </w:r>
            <w:r w:rsidRPr="007C3A73">
              <w:rPr>
                <w:rFonts w:cs="Arial"/>
                <w:vanish/>
              </w:rPr>
              <w:t xml:space="preserve"> reicht aus, damit der </w:t>
            </w:r>
            <w:r w:rsidRPr="00842CA9">
              <w:rPr>
                <w:rFonts w:cs="Arial"/>
                <w:vanish/>
              </w:rPr>
              <w:t>Kunde</w:t>
            </w:r>
            <w:r w:rsidRPr="007C3A73">
              <w:rPr>
                <w:rFonts w:cs="Arial"/>
                <w:vanish/>
              </w:rPr>
              <w:t xml:space="preserve"> einen Kredit erhält. Dadurch wird der </w:t>
            </w:r>
            <w:r w:rsidRPr="00842CA9">
              <w:rPr>
                <w:rFonts w:cs="Arial"/>
                <w:vanish/>
              </w:rPr>
              <w:t>Kreditbetrag seinem</w:t>
            </w:r>
            <w:r w:rsidRPr="007C3A73">
              <w:rPr>
                <w:rFonts w:cs="Arial"/>
                <w:vanish/>
              </w:rPr>
              <w:t xml:space="preserve"> Girokonto gutgeschrieben. Gleichzeitig wird ein Darlehenskonto eröffnet und der Kreditbetrag dort ebenfalls erfasst.</w:t>
            </w:r>
          </w:p>
          <w:p w14:paraId="4F7D4D59" w14:textId="77777777" w:rsidR="00714485" w:rsidRPr="007C3A73" w:rsidRDefault="00714485" w:rsidP="00714485">
            <w:pPr>
              <w:rPr>
                <w:rFonts w:cs="Arial"/>
                <w:vanish/>
              </w:rPr>
            </w:pPr>
          </w:p>
          <w:p w14:paraId="150D30F7" w14:textId="77777777" w:rsidR="00714485" w:rsidRDefault="00714485" w:rsidP="00714485">
            <w:pPr>
              <w:rPr>
                <w:rFonts w:cs="Arial"/>
                <w:vanish/>
              </w:rPr>
            </w:pPr>
            <w:r w:rsidRPr="007C3A73">
              <w:rPr>
                <w:rFonts w:cs="Arial"/>
                <w:vanish/>
              </w:rPr>
              <w:t xml:space="preserve">Der </w:t>
            </w:r>
            <w:r w:rsidRPr="008B7BE3">
              <w:rPr>
                <w:rFonts w:cs="Arial"/>
                <w:b/>
                <w:vanish/>
              </w:rPr>
              <w:t>Kredit</w:t>
            </w:r>
            <w:r w:rsidRPr="007C3A73">
              <w:rPr>
                <w:rFonts w:cs="Arial"/>
                <w:vanish/>
              </w:rPr>
              <w:t xml:space="preserve"> und die damit verbundene </w:t>
            </w:r>
            <w:r w:rsidRPr="008B7BE3">
              <w:rPr>
                <w:rFonts w:cs="Arial"/>
                <w:b/>
                <w:vanish/>
              </w:rPr>
              <w:t>Gutschrift</w:t>
            </w:r>
            <w:r w:rsidRPr="007C3A73">
              <w:rPr>
                <w:rFonts w:cs="Arial"/>
                <w:vanish/>
              </w:rPr>
              <w:t xml:space="preserve"> werden </w:t>
            </w:r>
            <w:r w:rsidRPr="008B7BE3">
              <w:rPr>
                <w:rFonts w:cs="Arial"/>
                <w:b/>
                <w:vanish/>
              </w:rPr>
              <w:t>neu geschaffen, aus dem Nichts</w:t>
            </w:r>
            <w:r w:rsidRPr="007C3A73">
              <w:rPr>
                <w:rFonts w:cs="Arial"/>
                <w:vanish/>
              </w:rPr>
              <w:t xml:space="preserve">. In der Fachsprache nennt man dieses Geld auch </w:t>
            </w:r>
            <w:r w:rsidRPr="008B7BE3">
              <w:rPr>
                <w:rFonts w:cs="Arial"/>
                <w:b/>
                <w:vanish/>
              </w:rPr>
              <w:t>Fiat-Geld</w:t>
            </w:r>
            <w:r w:rsidRPr="007C3A73">
              <w:rPr>
                <w:rFonts w:cs="Arial"/>
                <w:vanish/>
              </w:rPr>
              <w:t xml:space="preserve">, abgeleitet von dem lateinischen Ausdruck „fiat“, übersetzt „es werde“, hier also „es werde Geld“. Mit der Kreditvergabe hat die Geschäftsbank neues Geld erschaffen, das es vorher noch nicht gab. Kein Bargeld zwar, aber </w:t>
            </w:r>
            <w:r w:rsidRPr="008B7BE3">
              <w:rPr>
                <w:rFonts w:cs="Arial"/>
                <w:b/>
                <w:vanish/>
              </w:rPr>
              <w:t>Giralgeld</w:t>
            </w:r>
            <w:r w:rsidRPr="007C3A73">
              <w:rPr>
                <w:rFonts w:cs="Arial"/>
                <w:vanish/>
              </w:rPr>
              <w:t xml:space="preserve"> auf einem Girokonto, das die Geschäftsbank mit Hilfe der Zentralbank </w:t>
            </w:r>
            <w:r w:rsidRPr="008B7BE3">
              <w:rPr>
                <w:rFonts w:cs="Arial"/>
                <w:b/>
                <w:vanish/>
              </w:rPr>
              <w:t>in Bargeld umwandeln</w:t>
            </w:r>
            <w:r w:rsidRPr="007C3A73">
              <w:rPr>
                <w:rFonts w:cs="Arial"/>
                <w:vanish/>
              </w:rPr>
              <w:t xml:space="preserve"> kann, wenn es benötigt wird.</w:t>
            </w:r>
          </w:p>
          <w:p w14:paraId="361C4135" w14:textId="77777777" w:rsidR="00714485" w:rsidRPr="007C3A73" w:rsidRDefault="00714485" w:rsidP="00714485">
            <w:pPr>
              <w:rPr>
                <w:rFonts w:cs="Arial"/>
                <w:vanish/>
              </w:rPr>
            </w:pPr>
          </w:p>
          <w:p w14:paraId="74FE610C" w14:textId="77777777" w:rsidR="00714485" w:rsidRDefault="00714485" w:rsidP="00714485">
            <w:pPr>
              <w:rPr>
                <w:rFonts w:cs="Arial"/>
                <w:vanish/>
              </w:rPr>
            </w:pPr>
            <w:r w:rsidRPr="007C3A73">
              <w:rPr>
                <w:rFonts w:cs="Arial"/>
                <w:vanish/>
              </w:rPr>
              <w:t>Diesen Vorgang nennt man auch</w:t>
            </w:r>
            <w:r w:rsidRPr="008B7BE3">
              <w:rPr>
                <w:rFonts w:cs="Arial"/>
                <w:b/>
                <w:vanish/>
              </w:rPr>
              <w:t xml:space="preserve"> Giralgeldschöpfung</w:t>
            </w:r>
            <w:r w:rsidRPr="007C3A73">
              <w:rPr>
                <w:rFonts w:cs="Arial"/>
                <w:vanish/>
              </w:rPr>
              <w:t>.</w:t>
            </w:r>
          </w:p>
          <w:p w14:paraId="5DDDFE8C" w14:textId="77777777" w:rsidR="00714485" w:rsidRPr="007C3A73" w:rsidRDefault="00714485" w:rsidP="00714485">
            <w:pPr>
              <w:rPr>
                <w:rFonts w:cs="Arial"/>
                <w:vanish/>
              </w:rPr>
            </w:pPr>
          </w:p>
          <w:p w14:paraId="287B1DFF" w14:textId="77777777" w:rsidR="00714485" w:rsidRDefault="00714485" w:rsidP="00714485">
            <w:pPr>
              <w:rPr>
                <w:rFonts w:cs="Arial"/>
                <w:vanish/>
              </w:rPr>
            </w:pPr>
            <w:r w:rsidRPr="007C3A73">
              <w:rPr>
                <w:rFonts w:cs="Arial"/>
                <w:vanish/>
              </w:rPr>
              <w:t xml:space="preserve">Außer durch die Vergabe von Krediten können Geschäftsbanken auch noch auf zwei </w:t>
            </w:r>
            <w:r w:rsidRPr="008B7BE3">
              <w:rPr>
                <w:rFonts w:cs="Arial"/>
                <w:b/>
                <w:vanish/>
              </w:rPr>
              <w:t>weitere Arten</w:t>
            </w:r>
            <w:r w:rsidRPr="007C3A73">
              <w:rPr>
                <w:rFonts w:cs="Arial"/>
                <w:vanish/>
              </w:rPr>
              <w:t xml:space="preserve"> neues Giralgeld schaffen:</w:t>
            </w:r>
          </w:p>
          <w:p w14:paraId="163A9103" w14:textId="77777777" w:rsidR="00714485" w:rsidRPr="007C3A73" w:rsidRDefault="00714485" w:rsidP="00714485">
            <w:pPr>
              <w:rPr>
                <w:rFonts w:cs="Arial"/>
                <w:vanish/>
              </w:rPr>
            </w:pPr>
          </w:p>
          <w:p w14:paraId="5FD9DD9B" w14:textId="77777777" w:rsidR="00714485" w:rsidRDefault="00714485" w:rsidP="00714485">
            <w:pPr>
              <w:pStyle w:val="Listenabsatz"/>
              <w:numPr>
                <w:ilvl w:val="0"/>
                <w:numId w:val="26"/>
              </w:numPr>
              <w:rPr>
                <w:rFonts w:cs="Arial"/>
                <w:vanish/>
              </w:rPr>
            </w:pPr>
            <w:r w:rsidRPr="008B7BE3">
              <w:rPr>
                <w:rFonts w:cs="Arial"/>
                <w:vanish/>
              </w:rPr>
              <w:t xml:space="preserve">Wenn eine Geschäftsbank </w:t>
            </w:r>
            <w:r w:rsidRPr="00842CA9">
              <w:rPr>
                <w:rFonts w:cs="Arial"/>
                <w:vanish/>
              </w:rPr>
              <w:t xml:space="preserve">von einem Kunden </w:t>
            </w:r>
            <w:r w:rsidRPr="00842CA9">
              <w:rPr>
                <w:rFonts w:cs="Arial"/>
                <w:b/>
                <w:vanish/>
              </w:rPr>
              <w:t>einen Vermögenswert erwirbt</w:t>
            </w:r>
            <w:r w:rsidRPr="00842CA9">
              <w:rPr>
                <w:rFonts w:cs="Arial"/>
                <w:vanish/>
              </w:rPr>
              <w:t xml:space="preserve"> und den </w:t>
            </w:r>
            <w:r w:rsidRPr="00842CA9">
              <w:rPr>
                <w:rFonts w:cs="Arial"/>
                <w:b/>
                <w:vanish/>
              </w:rPr>
              <w:t>Kaufpreis</w:t>
            </w:r>
            <w:r w:rsidRPr="00842CA9">
              <w:rPr>
                <w:rFonts w:cs="Arial"/>
                <w:vanish/>
              </w:rPr>
              <w:t xml:space="preserve"> auf dem Girokonto des Kunden</w:t>
            </w:r>
            <w:r w:rsidRPr="008B7BE3">
              <w:rPr>
                <w:rFonts w:cs="Arial"/>
                <w:vanish/>
              </w:rPr>
              <w:t xml:space="preserve"> </w:t>
            </w:r>
            <w:r w:rsidRPr="008B7BE3">
              <w:rPr>
                <w:rFonts w:cs="Arial"/>
                <w:b/>
                <w:vanish/>
              </w:rPr>
              <w:t>gutschreibt</w:t>
            </w:r>
            <w:r w:rsidRPr="008B7BE3">
              <w:rPr>
                <w:rFonts w:cs="Arial"/>
                <w:vanish/>
              </w:rPr>
              <w:t xml:space="preserve">, dann ist diese Gutschrift auch mit </w:t>
            </w:r>
            <w:r w:rsidRPr="008B7BE3">
              <w:rPr>
                <w:rFonts w:cs="Arial"/>
                <w:b/>
                <w:vanish/>
              </w:rPr>
              <w:t>neu geschaffenem Giralgeld</w:t>
            </w:r>
            <w:r w:rsidRPr="008B7BE3">
              <w:rPr>
                <w:rFonts w:cs="Arial"/>
                <w:vanish/>
              </w:rPr>
              <w:t xml:space="preserve"> erfolgt.</w:t>
            </w:r>
          </w:p>
          <w:p w14:paraId="44176205" w14:textId="77777777" w:rsidR="00714485" w:rsidRPr="008B7BE3" w:rsidRDefault="00714485" w:rsidP="00714485">
            <w:pPr>
              <w:pStyle w:val="Listenabsatz"/>
              <w:rPr>
                <w:rFonts w:cs="Arial"/>
                <w:vanish/>
              </w:rPr>
            </w:pPr>
          </w:p>
          <w:p w14:paraId="50182412" w14:textId="77777777" w:rsidR="00714485" w:rsidRDefault="00714485" w:rsidP="00714485">
            <w:pPr>
              <w:pStyle w:val="Listenabsatz"/>
              <w:numPr>
                <w:ilvl w:val="0"/>
                <w:numId w:val="26"/>
              </w:numPr>
              <w:rPr>
                <w:rFonts w:cs="Arial"/>
                <w:vanish/>
              </w:rPr>
            </w:pPr>
            <w:r w:rsidRPr="008B7BE3">
              <w:rPr>
                <w:rFonts w:cs="Arial"/>
                <w:vanish/>
              </w:rPr>
              <w:t xml:space="preserve">Wenn ein Unternehmen </w:t>
            </w:r>
            <w:r w:rsidRPr="008B7BE3">
              <w:rPr>
                <w:rFonts w:cs="Arial"/>
                <w:b/>
                <w:vanish/>
              </w:rPr>
              <w:t>Güter ins Ausland verkauft</w:t>
            </w:r>
            <w:r w:rsidRPr="008B7BE3">
              <w:rPr>
                <w:rFonts w:cs="Arial"/>
                <w:vanish/>
              </w:rPr>
              <w:t xml:space="preserve"> und der </w:t>
            </w:r>
            <w:r w:rsidRPr="008B7BE3">
              <w:rPr>
                <w:rFonts w:cs="Arial"/>
                <w:b/>
                <w:vanish/>
              </w:rPr>
              <w:t>Verkaufserlös</w:t>
            </w:r>
            <w:r w:rsidRPr="008B7BE3">
              <w:rPr>
                <w:rFonts w:cs="Arial"/>
                <w:vanish/>
              </w:rPr>
              <w:t xml:space="preserve"> auf dem Geschäftskonto des Unternehmens </w:t>
            </w:r>
            <w:r w:rsidRPr="008B7BE3">
              <w:rPr>
                <w:rFonts w:cs="Arial"/>
                <w:b/>
                <w:vanish/>
              </w:rPr>
              <w:t>gutgeschrieben</w:t>
            </w:r>
            <w:r w:rsidRPr="008B7BE3">
              <w:rPr>
                <w:rFonts w:cs="Arial"/>
                <w:vanish/>
              </w:rPr>
              <w:t xml:space="preserve"> wird, dann ist diese Gutschrift ebenfalls </w:t>
            </w:r>
            <w:r w:rsidRPr="008B7BE3">
              <w:rPr>
                <w:rFonts w:cs="Arial"/>
                <w:b/>
                <w:vanish/>
              </w:rPr>
              <w:t>mit neuem Geld</w:t>
            </w:r>
            <w:r w:rsidRPr="008B7BE3">
              <w:rPr>
                <w:rFonts w:cs="Arial"/>
                <w:vanish/>
              </w:rPr>
              <w:t xml:space="preserve"> vorgenommen worden.</w:t>
            </w:r>
          </w:p>
          <w:p w14:paraId="492CA09A" w14:textId="77777777" w:rsidR="00714485" w:rsidRPr="008B7BE3" w:rsidRDefault="00714485" w:rsidP="00714485">
            <w:pPr>
              <w:rPr>
                <w:rFonts w:cs="Arial"/>
                <w:vanish/>
              </w:rPr>
            </w:pPr>
          </w:p>
          <w:p w14:paraId="501A1A86" w14:textId="77777777" w:rsidR="00714485" w:rsidRDefault="00714485" w:rsidP="00714485">
            <w:pPr>
              <w:rPr>
                <w:rFonts w:cs="Arial"/>
                <w:vanish/>
              </w:rPr>
            </w:pPr>
            <w:r w:rsidRPr="007C3A73">
              <w:rPr>
                <w:rFonts w:cs="Arial"/>
                <w:vanish/>
              </w:rPr>
              <w:t xml:space="preserve">Kein neues Giralgeld entsteht aber, </w:t>
            </w:r>
            <w:r w:rsidRPr="00842CA9">
              <w:rPr>
                <w:rFonts w:cs="Arial"/>
                <w:vanish/>
              </w:rPr>
              <w:t>wenn ein Kunde Bargeld auf sein</w:t>
            </w:r>
            <w:r w:rsidRPr="007C3A73">
              <w:rPr>
                <w:rFonts w:cs="Arial"/>
                <w:vanish/>
              </w:rPr>
              <w:t xml:space="preserve"> Girokonto einzahlt und dadurch sein Kontoguthaben ansteigt, denn dieses Bargeld war schon einmal Giralgeld und ist nicht neu geschaffen worden.</w:t>
            </w:r>
          </w:p>
          <w:p w14:paraId="147853B5" w14:textId="77777777" w:rsidR="00714485" w:rsidRPr="007C3A73" w:rsidRDefault="00714485" w:rsidP="00714485">
            <w:pPr>
              <w:rPr>
                <w:rFonts w:cs="Arial"/>
                <w:vanish/>
              </w:rPr>
            </w:pPr>
          </w:p>
          <w:p w14:paraId="6730161A" w14:textId="77777777" w:rsidR="00714485" w:rsidRPr="007C3A73" w:rsidRDefault="00714485" w:rsidP="00714485">
            <w:pPr>
              <w:rPr>
                <w:rFonts w:cs="Arial"/>
                <w:vanish/>
              </w:rPr>
            </w:pPr>
            <w:r w:rsidRPr="007C3A73">
              <w:rPr>
                <w:rFonts w:cs="Arial"/>
                <w:vanish/>
              </w:rPr>
              <w:t xml:space="preserve">Giralgeld </w:t>
            </w:r>
            <w:r w:rsidRPr="008B7BE3">
              <w:rPr>
                <w:rFonts w:cs="Arial"/>
                <w:b/>
                <w:vanish/>
              </w:rPr>
              <w:t>verschwindet</w:t>
            </w:r>
            <w:r w:rsidRPr="007C3A73">
              <w:rPr>
                <w:rFonts w:cs="Arial"/>
                <w:vanish/>
              </w:rPr>
              <w:t xml:space="preserve"> wieder („wird vernichtet“), wenn</w:t>
            </w:r>
          </w:p>
          <w:p w14:paraId="3ACCCAFF" w14:textId="77777777" w:rsidR="00714485" w:rsidRPr="008B7BE3" w:rsidRDefault="00714485" w:rsidP="00714485">
            <w:pPr>
              <w:pStyle w:val="Listenabsatz"/>
              <w:numPr>
                <w:ilvl w:val="0"/>
                <w:numId w:val="27"/>
              </w:numPr>
              <w:rPr>
                <w:rFonts w:cs="Arial"/>
                <w:vanish/>
              </w:rPr>
            </w:pPr>
            <w:r w:rsidRPr="008B7BE3">
              <w:rPr>
                <w:rFonts w:cs="Arial"/>
                <w:b/>
                <w:vanish/>
              </w:rPr>
              <w:t>Kredite zurückgezahlt</w:t>
            </w:r>
            <w:r w:rsidRPr="008B7BE3">
              <w:rPr>
                <w:rFonts w:cs="Arial"/>
                <w:vanish/>
              </w:rPr>
              <w:t xml:space="preserve"> werden,</w:t>
            </w:r>
          </w:p>
          <w:p w14:paraId="5D947386" w14:textId="77777777" w:rsidR="00714485" w:rsidRPr="008B7BE3" w:rsidRDefault="00714485" w:rsidP="00714485">
            <w:pPr>
              <w:pStyle w:val="Listenabsatz"/>
              <w:numPr>
                <w:ilvl w:val="0"/>
                <w:numId w:val="27"/>
              </w:numPr>
              <w:rPr>
                <w:rFonts w:cs="Arial"/>
                <w:vanish/>
              </w:rPr>
            </w:pPr>
            <w:r w:rsidRPr="00842CA9">
              <w:rPr>
                <w:rFonts w:cs="Arial"/>
                <w:vanish/>
              </w:rPr>
              <w:t>Bankkunden</w:t>
            </w:r>
            <w:r w:rsidRPr="008B7BE3">
              <w:rPr>
                <w:rFonts w:cs="Arial"/>
                <w:vanish/>
              </w:rPr>
              <w:t xml:space="preserve"> einen </w:t>
            </w:r>
            <w:r w:rsidRPr="008B7BE3">
              <w:rPr>
                <w:rFonts w:cs="Arial"/>
                <w:b/>
                <w:vanish/>
              </w:rPr>
              <w:t>Vermögenswert von der Bank</w:t>
            </w:r>
            <w:r w:rsidRPr="008B7BE3">
              <w:rPr>
                <w:rFonts w:cs="Arial"/>
                <w:vanish/>
              </w:rPr>
              <w:t xml:space="preserve"> kaufen und ihr Konto mit dem Kaufpreis belastet wird,</w:t>
            </w:r>
          </w:p>
          <w:p w14:paraId="2320C22F" w14:textId="77777777" w:rsidR="00714485" w:rsidRPr="008B7BE3" w:rsidRDefault="00714485" w:rsidP="00714485">
            <w:pPr>
              <w:pStyle w:val="Listenabsatz"/>
              <w:numPr>
                <w:ilvl w:val="0"/>
                <w:numId w:val="27"/>
              </w:numPr>
              <w:rPr>
                <w:rFonts w:cs="Arial"/>
                <w:vanish/>
              </w:rPr>
            </w:pPr>
            <w:r w:rsidRPr="008B7BE3">
              <w:rPr>
                <w:rFonts w:cs="Arial"/>
                <w:vanish/>
              </w:rPr>
              <w:t xml:space="preserve">Unternehmen ihre gekauften </w:t>
            </w:r>
            <w:r w:rsidRPr="008B7BE3">
              <w:rPr>
                <w:rFonts w:cs="Arial"/>
                <w:b/>
                <w:vanish/>
              </w:rPr>
              <w:t>Güter aus dem Ausland</w:t>
            </w:r>
            <w:r w:rsidRPr="008B7BE3">
              <w:rPr>
                <w:rFonts w:cs="Arial"/>
                <w:vanish/>
              </w:rPr>
              <w:t xml:space="preserve"> durch eine </w:t>
            </w:r>
            <w:r w:rsidRPr="008B7BE3">
              <w:rPr>
                <w:rFonts w:cs="Arial"/>
                <w:b/>
                <w:vanish/>
              </w:rPr>
              <w:t>Belastung</w:t>
            </w:r>
            <w:r w:rsidRPr="008B7BE3">
              <w:rPr>
                <w:rFonts w:cs="Arial"/>
                <w:vanish/>
              </w:rPr>
              <w:t xml:space="preserve"> ihres Kontos bezahlen.</w:t>
            </w:r>
          </w:p>
          <w:p w14:paraId="3AC64B22" w14:textId="77777777" w:rsidR="00714485" w:rsidRPr="007C3A73" w:rsidRDefault="00714485" w:rsidP="00714485">
            <w:pPr>
              <w:rPr>
                <w:rFonts w:cs="Arial"/>
                <w:vanish/>
              </w:rPr>
            </w:pPr>
          </w:p>
          <w:p w14:paraId="643D2AD2" w14:textId="77777777" w:rsidR="00714485" w:rsidRPr="008B7BE3" w:rsidRDefault="00714485" w:rsidP="00714485">
            <w:pPr>
              <w:rPr>
                <w:rFonts w:cs="Arial"/>
                <w:vanish/>
              </w:rPr>
            </w:pPr>
          </w:p>
          <w:p w14:paraId="19A0A178" w14:textId="77777777" w:rsidR="00714485" w:rsidRPr="008B7BE3" w:rsidRDefault="00714485" w:rsidP="00714485">
            <w:pPr>
              <w:rPr>
                <w:rFonts w:cs="Arial"/>
                <w:b/>
                <w:vanish/>
              </w:rPr>
            </w:pPr>
            <w:r w:rsidRPr="008B7BE3">
              <w:rPr>
                <w:rFonts w:cs="Arial"/>
                <w:b/>
                <w:vanish/>
              </w:rPr>
              <w:t>Glossar:</w:t>
            </w:r>
          </w:p>
          <w:p w14:paraId="425F30A4" w14:textId="63EB5C08" w:rsidR="00714485" w:rsidRPr="008B7BE3" w:rsidRDefault="00714485" w:rsidP="00714485">
            <w:pPr>
              <w:rPr>
                <w:rFonts w:cs="Arial"/>
                <w:vanish/>
              </w:rPr>
            </w:pPr>
            <w:r w:rsidRPr="008B7BE3">
              <w:rPr>
                <w:rFonts w:cs="Arial"/>
                <w:vanish/>
              </w:rPr>
              <w:t>Giralgeld: man nennt es auch Buchgeld. Es ist das Geld auf den Konten bei der Ba</w:t>
            </w:r>
            <w:r>
              <w:rPr>
                <w:rFonts w:cs="Arial"/>
                <w:vanish/>
              </w:rPr>
              <w:t>nk. Man kann damit bezahlen (z. </w:t>
            </w:r>
            <w:r w:rsidRPr="008B7BE3">
              <w:rPr>
                <w:rFonts w:cs="Arial"/>
                <w:vanish/>
              </w:rPr>
              <w:t>B. mit Karte oder Überweisung) oder es bei seiner Bank in Bargeld umwandeln und auszahlen lassen.</w:t>
            </w:r>
          </w:p>
          <w:p w14:paraId="58D9D852" w14:textId="77777777" w:rsidR="00714485" w:rsidRDefault="00714485" w:rsidP="00714485">
            <w:pPr>
              <w:rPr>
                <w:rFonts w:cs="Arial"/>
                <w:vanish/>
              </w:rPr>
            </w:pPr>
            <w:r w:rsidRPr="008B7BE3">
              <w:rPr>
                <w:rFonts w:cs="Arial"/>
                <w:vanish/>
              </w:rPr>
              <w:t>Giralgeldschöpfung: Vorgang der Schaffung neuen Geldes durch eine Geschäftsbank. „Schöpfung“ ist ein älteres Wort für Schaffung.</w:t>
            </w:r>
          </w:p>
          <w:p w14:paraId="71C0F71E" w14:textId="77777777" w:rsidR="00714485" w:rsidRPr="00714485" w:rsidRDefault="00714485" w:rsidP="00714485">
            <w:pPr>
              <w:rPr>
                <w:rFonts w:cs="Arial"/>
                <w:bCs/>
                <w:vanish/>
              </w:rPr>
            </w:pPr>
          </w:p>
        </w:tc>
      </w:tr>
    </w:tbl>
    <w:p w14:paraId="5EE20CE3" w14:textId="77777777" w:rsidR="008B7BE3" w:rsidRPr="008B7BE3" w:rsidRDefault="008B7BE3" w:rsidP="008B7BE3">
      <w:pPr>
        <w:spacing w:after="0" w:line="240" w:lineRule="auto"/>
        <w:rPr>
          <w:rFonts w:cs="Arial"/>
          <w:vanish/>
        </w:rPr>
      </w:pPr>
    </w:p>
    <w:p w14:paraId="7204E5F4" w14:textId="77777777" w:rsidR="004F4266" w:rsidRPr="005F4BD1" w:rsidRDefault="004F4266" w:rsidP="005F4BD1">
      <w:pPr>
        <w:spacing w:after="0" w:line="240" w:lineRule="auto"/>
        <w:rPr>
          <w:rFonts w:cs="Arial"/>
          <w:vanish/>
        </w:rPr>
      </w:pPr>
    </w:p>
    <w:p w14:paraId="06082CB6" w14:textId="6C2A63F1" w:rsidR="005F4BD1" w:rsidRPr="005F4BD1" w:rsidRDefault="00DB1519" w:rsidP="005F4BD1">
      <w:pPr>
        <w:pStyle w:val="TabelleAufzhlung"/>
        <w:numPr>
          <w:ilvl w:val="0"/>
          <w:numId w:val="0"/>
        </w:numPr>
        <w:spacing w:after="60" w:line="276" w:lineRule="auto"/>
        <w:rPr>
          <w:rFonts w:ascii="Times New Roman" w:hAnsi="Times New Roman"/>
          <w:i/>
          <w:vanish/>
          <w:color w:val="FF0000"/>
        </w:rPr>
      </w:pPr>
      <w:r w:rsidRPr="005F4BD1">
        <w:rPr>
          <w:rFonts w:ascii="Times New Roman" w:hAnsi="Times New Roman"/>
          <w:i/>
          <w:vanish/>
          <w:color w:val="FF0000"/>
        </w:rPr>
        <w:t>Konsolidierung: Die Schülerinnen und Schüler überlegen sich Fragen bzw. Aufgaben für ein Quiz.</w:t>
      </w:r>
      <w:r w:rsidR="009A6B9E" w:rsidRPr="005F4BD1">
        <w:rPr>
          <w:rFonts w:ascii="Times New Roman" w:hAnsi="Times New Roman"/>
          <w:i/>
          <w:vanish/>
          <w:color w:val="FF0000"/>
        </w:rPr>
        <w:t xml:space="preserve"> Diese können auch in digitaler Form erstellt werden.</w:t>
      </w:r>
    </w:p>
    <w:p w14:paraId="640C63AA" w14:textId="77777777" w:rsidR="005F4BD1" w:rsidRPr="005F4BD1" w:rsidRDefault="005F4BD1" w:rsidP="005F4BD1">
      <w:pPr>
        <w:spacing w:after="0" w:line="240" w:lineRule="auto"/>
        <w:rPr>
          <w:rFonts w:cs="Arial"/>
          <w:vanish/>
        </w:rPr>
      </w:pPr>
    </w:p>
    <w:p w14:paraId="7711C6F8" w14:textId="55801DE3" w:rsidR="00DB1519" w:rsidRDefault="00DB1519" w:rsidP="005F4BD1">
      <w:pPr>
        <w:spacing w:after="0" w:line="240" w:lineRule="auto"/>
        <w:rPr>
          <w:rFonts w:cs="Arial"/>
          <w:b/>
          <w:vanish/>
        </w:rPr>
      </w:pPr>
      <w:r w:rsidRPr="00B008AA">
        <w:rPr>
          <w:rFonts w:cs="Arial"/>
          <w:b/>
          <w:vanish/>
        </w:rPr>
        <w:t>Beispielaufgabe:</w:t>
      </w:r>
    </w:p>
    <w:p w14:paraId="2F075EFD" w14:textId="77777777" w:rsidR="005F4BD1" w:rsidRPr="00B008AA" w:rsidRDefault="005F4BD1" w:rsidP="005F4BD1">
      <w:pPr>
        <w:spacing w:after="0" w:line="240" w:lineRule="auto"/>
        <w:rPr>
          <w:rFonts w:cs="Arial"/>
          <w:b/>
          <w:vanish/>
        </w:rPr>
      </w:pPr>
    </w:p>
    <w:p w14:paraId="02AC0AB3" w14:textId="51839A45" w:rsidR="00E60D7C" w:rsidRDefault="00DB1519" w:rsidP="005F4BD1">
      <w:pPr>
        <w:spacing w:after="0" w:line="240" w:lineRule="auto"/>
        <w:rPr>
          <w:rFonts w:cs="Arial"/>
          <w:b/>
          <w:vanish/>
        </w:rPr>
      </w:pPr>
      <w:r w:rsidRPr="00B008AA">
        <w:rPr>
          <w:rFonts w:cs="Arial"/>
          <w:b/>
          <w:vanish/>
        </w:rPr>
        <w:t>Entscheide, in welchem der folgenden Fälle neues Giralgeld geschaffen wird</w:t>
      </w:r>
      <w:r w:rsidR="00023549" w:rsidRPr="00B008AA">
        <w:rPr>
          <w:rFonts w:cs="Arial"/>
          <w:b/>
          <w:vanish/>
        </w:rPr>
        <w:t>:</w:t>
      </w:r>
    </w:p>
    <w:p w14:paraId="7FE3823E" w14:textId="77777777" w:rsidR="005F4BD1" w:rsidRPr="00B008AA" w:rsidRDefault="005F4BD1" w:rsidP="005F4BD1">
      <w:pPr>
        <w:spacing w:after="0" w:line="240" w:lineRule="auto"/>
        <w:rPr>
          <w:rFonts w:cs="Arial"/>
          <w:b/>
          <w:vanish/>
        </w:rPr>
      </w:pPr>
    </w:p>
    <w:p w14:paraId="674BE041" w14:textId="417A90B6" w:rsidR="00E60D7C" w:rsidRDefault="00DB1519" w:rsidP="005F4BD1">
      <w:pPr>
        <w:spacing w:after="0" w:line="240" w:lineRule="auto"/>
        <w:rPr>
          <w:rFonts w:cs="Arial"/>
          <w:bCs/>
          <w:vanish/>
        </w:rPr>
      </w:pPr>
      <w:r w:rsidRPr="00B008AA">
        <w:rPr>
          <w:rFonts w:cs="Arial"/>
          <w:bCs/>
          <w:vanish/>
        </w:rPr>
        <w:t>A: Die Bank A verkauft an die EZB Bundesanleihen zum Kurswert von 40 Mio. EUR.</w:t>
      </w:r>
    </w:p>
    <w:p w14:paraId="160E7175" w14:textId="77777777" w:rsidR="005F4BD1" w:rsidRPr="00B008AA" w:rsidRDefault="005F4BD1" w:rsidP="005F4BD1">
      <w:pPr>
        <w:spacing w:after="0" w:line="240" w:lineRule="auto"/>
        <w:rPr>
          <w:rFonts w:cs="Arial"/>
          <w:bCs/>
          <w:vanish/>
        </w:rPr>
      </w:pPr>
    </w:p>
    <w:p w14:paraId="211E936D" w14:textId="4CA97DA9" w:rsidR="00DB1519" w:rsidRDefault="00966BC2" w:rsidP="005F4BD1">
      <w:pPr>
        <w:spacing w:after="0" w:line="240" w:lineRule="auto"/>
        <w:rPr>
          <w:rFonts w:cs="Arial"/>
          <w:bCs/>
          <w:vanish/>
        </w:rPr>
      </w:pPr>
      <w:r>
        <w:rPr>
          <w:rFonts w:cs="Arial"/>
          <w:bCs/>
          <w:vanish/>
        </w:rPr>
        <w:t>B: Die Bank B kauft von dem</w:t>
      </w:r>
      <w:r w:rsidR="00DB1519" w:rsidRPr="00B008AA">
        <w:rPr>
          <w:rFonts w:cs="Arial"/>
          <w:bCs/>
          <w:vanish/>
        </w:rPr>
        <w:t xml:space="preserve"> Kunden X eine Unternehmensanleihe zum Kurswert von 30.000 EUR.</w:t>
      </w:r>
      <w:r>
        <w:rPr>
          <w:rFonts w:cs="Arial"/>
          <w:bCs/>
          <w:vanish/>
        </w:rPr>
        <w:t xml:space="preserve"> Der Kaufpreis wird auf dessen Girokonto überwiesen.</w:t>
      </w:r>
    </w:p>
    <w:p w14:paraId="1D46A7FE" w14:textId="77777777" w:rsidR="005F4BD1" w:rsidRPr="00B008AA" w:rsidRDefault="005F4BD1" w:rsidP="005F4BD1">
      <w:pPr>
        <w:spacing w:after="0" w:line="240" w:lineRule="auto"/>
        <w:rPr>
          <w:rFonts w:cs="Arial"/>
          <w:bCs/>
          <w:vanish/>
        </w:rPr>
      </w:pPr>
    </w:p>
    <w:p w14:paraId="447F5305" w14:textId="01C24E37" w:rsidR="00DB1519" w:rsidRDefault="00DB1519" w:rsidP="005F4BD1">
      <w:pPr>
        <w:spacing w:after="0" w:line="240" w:lineRule="auto"/>
        <w:rPr>
          <w:rFonts w:cs="Arial"/>
          <w:bCs/>
          <w:vanish/>
        </w:rPr>
      </w:pPr>
      <w:r w:rsidRPr="00B008AA">
        <w:rPr>
          <w:rFonts w:cs="Arial"/>
          <w:bCs/>
          <w:vanish/>
        </w:rPr>
        <w:t xml:space="preserve">C: Kunde Y </w:t>
      </w:r>
      <w:r w:rsidR="00023549" w:rsidRPr="00B008AA">
        <w:rPr>
          <w:rFonts w:cs="Arial"/>
          <w:bCs/>
          <w:vanish/>
        </w:rPr>
        <w:t>überweist</w:t>
      </w:r>
      <w:r w:rsidRPr="00B008AA">
        <w:rPr>
          <w:rFonts w:cs="Arial"/>
          <w:bCs/>
          <w:vanish/>
        </w:rPr>
        <w:t xml:space="preserve"> </w:t>
      </w:r>
      <w:r w:rsidR="00C90FB1" w:rsidRPr="00B008AA">
        <w:rPr>
          <w:rFonts w:cs="Arial"/>
          <w:bCs/>
          <w:vanish/>
        </w:rPr>
        <w:t>vom Girokonto auf das Darlehenskonto</w:t>
      </w:r>
      <w:r w:rsidRPr="00B008AA">
        <w:rPr>
          <w:rFonts w:cs="Arial"/>
          <w:bCs/>
          <w:vanish/>
        </w:rPr>
        <w:t xml:space="preserve"> </w:t>
      </w:r>
      <w:r w:rsidR="00C90FB1" w:rsidRPr="00B008AA">
        <w:rPr>
          <w:rFonts w:cs="Arial"/>
          <w:bCs/>
          <w:vanish/>
        </w:rPr>
        <w:t xml:space="preserve">bei </w:t>
      </w:r>
      <w:r w:rsidRPr="00B008AA">
        <w:rPr>
          <w:rFonts w:cs="Arial"/>
          <w:bCs/>
          <w:vanish/>
        </w:rPr>
        <w:t>seine</w:t>
      </w:r>
      <w:r w:rsidR="00C90FB1" w:rsidRPr="00B008AA">
        <w:rPr>
          <w:rFonts w:cs="Arial"/>
          <w:bCs/>
          <w:vanish/>
        </w:rPr>
        <w:t>r</w:t>
      </w:r>
      <w:r w:rsidRPr="00B008AA">
        <w:rPr>
          <w:rFonts w:cs="Arial"/>
          <w:bCs/>
          <w:vanish/>
        </w:rPr>
        <w:t xml:space="preserve"> Bank C</w:t>
      </w:r>
      <w:r w:rsidR="00023549" w:rsidRPr="00B008AA">
        <w:rPr>
          <w:rFonts w:cs="Arial"/>
          <w:bCs/>
          <w:vanish/>
        </w:rPr>
        <w:t xml:space="preserve"> einen Betrag in Höhe von 20.000 EUR mit dem Verwendungszweck „Sondertilgung Immobiliendarlehen“.</w:t>
      </w:r>
    </w:p>
    <w:p w14:paraId="163F4091" w14:textId="77777777" w:rsidR="005F4BD1" w:rsidRPr="00B008AA" w:rsidRDefault="005F4BD1" w:rsidP="005F4BD1">
      <w:pPr>
        <w:spacing w:after="0" w:line="240" w:lineRule="auto"/>
        <w:rPr>
          <w:rFonts w:cs="Arial"/>
          <w:bCs/>
          <w:vanish/>
        </w:rPr>
      </w:pPr>
    </w:p>
    <w:p w14:paraId="74425916" w14:textId="0090FEFF" w:rsidR="00023549" w:rsidRDefault="00023549" w:rsidP="005F4BD1">
      <w:pPr>
        <w:spacing w:after="0" w:line="240" w:lineRule="auto"/>
        <w:rPr>
          <w:rFonts w:cs="Arial"/>
          <w:bCs/>
          <w:vanish/>
        </w:rPr>
      </w:pPr>
      <w:r w:rsidRPr="00B008AA">
        <w:rPr>
          <w:rFonts w:cs="Arial"/>
          <w:bCs/>
          <w:vanish/>
        </w:rPr>
        <w:t>D: Kunde Z hebt am Bargeldautomaten seiner Bank D einen Geldbetrag in Höhe von 500 EUR ab.</w:t>
      </w:r>
    </w:p>
    <w:p w14:paraId="55932852" w14:textId="77777777" w:rsidR="005F4BD1" w:rsidRPr="00B008AA" w:rsidRDefault="005F4BD1" w:rsidP="005F4BD1">
      <w:pPr>
        <w:spacing w:after="0" w:line="240" w:lineRule="auto"/>
        <w:rPr>
          <w:rFonts w:cs="Arial"/>
          <w:bCs/>
          <w:vanish/>
        </w:rPr>
      </w:pPr>
    </w:p>
    <w:p w14:paraId="38643631" w14:textId="77777777" w:rsidR="005F4BD1" w:rsidRDefault="00023549" w:rsidP="005F4BD1">
      <w:pPr>
        <w:spacing w:after="0" w:line="240" w:lineRule="auto"/>
        <w:rPr>
          <w:rFonts w:cs="Arial"/>
          <w:b/>
          <w:vanish/>
        </w:rPr>
      </w:pPr>
      <w:r w:rsidRPr="00B008AA">
        <w:rPr>
          <w:rFonts w:cs="Arial"/>
          <w:b/>
          <w:vanish/>
        </w:rPr>
        <w:t xml:space="preserve">Lösung: Nur im Fall B wird neues Giralgeld geschaffen. </w:t>
      </w:r>
    </w:p>
    <w:p w14:paraId="3244BE81" w14:textId="355C7E40" w:rsidR="00023549" w:rsidRPr="00B008AA" w:rsidRDefault="00023549" w:rsidP="005F4BD1">
      <w:pPr>
        <w:spacing w:after="0" w:line="240" w:lineRule="auto"/>
        <w:rPr>
          <w:rFonts w:cs="Arial"/>
          <w:b/>
          <w:vanish/>
        </w:rPr>
      </w:pPr>
      <w:r w:rsidRPr="00B008AA">
        <w:rPr>
          <w:rFonts w:cs="Arial"/>
          <w:b/>
          <w:vanish/>
        </w:rPr>
        <w:t>Bei A handelt es sich um Zentralbankgeldschöpfung, bei C um Giralgeldvernichtung, bei D um Umwandlung von Giralgeld in Bargeld.</w:t>
      </w:r>
    </w:p>
    <w:p w14:paraId="5C55F7D5" w14:textId="23A48285" w:rsidR="00DB1519" w:rsidRDefault="00DB1519" w:rsidP="005F4BD1">
      <w:pPr>
        <w:spacing w:after="0" w:line="240" w:lineRule="auto"/>
        <w:rPr>
          <w:rFonts w:cs="Arial"/>
          <w:vanish/>
        </w:rPr>
      </w:pPr>
    </w:p>
    <w:p w14:paraId="792FFEC8" w14:textId="75CA55E7" w:rsidR="005F4BD1" w:rsidRDefault="005F4BD1" w:rsidP="005F4BD1">
      <w:pPr>
        <w:spacing w:after="0" w:line="240" w:lineRule="auto"/>
        <w:rPr>
          <w:rFonts w:cs="Arial"/>
          <w:vanish/>
        </w:rPr>
      </w:pPr>
    </w:p>
    <w:p w14:paraId="6E4E6B90" w14:textId="77777777" w:rsidR="005F4BD1" w:rsidRPr="005F4BD1" w:rsidRDefault="005F4BD1" w:rsidP="005F4BD1">
      <w:pPr>
        <w:spacing w:after="0" w:line="240" w:lineRule="auto"/>
        <w:rPr>
          <w:rFonts w:cs="Arial"/>
          <w:vanish/>
        </w:rPr>
      </w:pPr>
    </w:p>
    <w:p w14:paraId="1F90E45A" w14:textId="08B4E13D" w:rsidR="005F4BD1" w:rsidRPr="005F4BD1" w:rsidRDefault="005F4BD1" w:rsidP="005F4BD1">
      <w:pPr>
        <w:pStyle w:val="TabelleAufzhlung"/>
        <w:numPr>
          <w:ilvl w:val="0"/>
          <w:numId w:val="0"/>
        </w:numPr>
        <w:spacing w:after="60" w:line="276" w:lineRule="auto"/>
        <w:rPr>
          <w:rFonts w:ascii="Times New Roman" w:hAnsi="Times New Roman"/>
          <w:i/>
          <w:vanish/>
          <w:color w:val="FF0000"/>
        </w:rPr>
      </w:pPr>
      <w:r w:rsidRPr="005F4BD1">
        <w:rPr>
          <w:rFonts w:ascii="Times New Roman" w:hAnsi="Times New Roman"/>
          <w:i/>
          <w:vanish/>
          <w:color w:val="FF0000"/>
        </w:rPr>
        <w:t>Hilfekarten für die Erstellung der Präsentation</w:t>
      </w:r>
    </w:p>
    <w:p w14:paraId="7E3BAAEA" w14:textId="769B595C" w:rsidR="005F4BD1" w:rsidRDefault="005F4BD1" w:rsidP="005F4BD1">
      <w:pPr>
        <w:spacing w:after="0" w:line="240" w:lineRule="auto"/>
        <w:rPr>
          <w:rFonts w:cs="Arial"/>
          <w:vanish/>
        </w:rPr>
      </w:pPr>
    </w:p>
    <w:p w14:paraId="68FE5F9A" w14:textId="30A05337" w:rsidR="00714485" w:rsidRPr="00C526F4" w:rsidRDefault="00714485" w:rsidP="005F4BD1">
      <w:pPr>
        <w:pBdr>
          <w:top w:val="single" w:sz="4" w:space="1" w:color="auto"/>
          <w:left w:val="single" w:sz="4" w:space="4" w:color="auto"/>
          <w:bottom w:val="single" w:sz="4" w:space="1" w:color="auto"/>
          <w:right w:val="single" w:sz="4" w:space="4" w:color="auto"/>
        </w:pBdr>
        <w:rPr>
          <w:rFonts w:eastAsia="Calibri" w:cs="Arial"/>
          <w:b/>
          <w:vanish/>
          <w:sz w:val="32"/>
        </w:rPr>
      </w:pPr>
      <w:r w:rsidRPr="00590C0C">
        <w:rPr>
          <w:vanish/>
          <w:sz w:val="120"/>
          <w:szCs w:val="120"/>
        </w:rPr>
        <w:sym w:font="Webdings" w:char="F069"/>
      </w:r>
      <w:r w:rsidR="00347C29">
        <w:rPr>
          <w:rFonts w:eastAsia="Calibri" w:cs="Arial"/>
          <w:b/>
          <w:vanish/>
          <w:sz w:val="32"/>
        </w:rPr>
        <w:t>Hilfekarte</w:t>
      </w:r>
      <w:r w:rsidR="005F4BD1">
        <w:rPr>
          <w:rFonts w:eastAsia="Calibri" w:cs="Arial"/>
          <w:b/>
          <w:vanish/>
          <w:sz w:val="32"/>
        </w:rPr>
        <w:t xml:space="preserve"> 1</w:t>
      </w:r>
      <w:r w:rsidRPr="00C526F4">
        <w:rPr>
          <w:rFonts w:eastAsia="Calibri" w:cs="Arial"/>
          <w:b/>
          <w:vanish/>
          <w:sz w:val="32"/>
        </w:rPr>
        <w:t>:</w:t>
      </w:r>
    </w:p>
    <w:p w14:paraId="01D8E6AE" w14:textId="16B0ED50" w:rsidR="003C7029" w:rsidRDefault="005F4BD1" w:rsidP="005F4BD1">
      <w:pPr>
        <w:pBdr>
          <w:top w:val="single" w:sz="4" w:space="1" w:color="auto"/>
          <w:left w:val="single" w:sz="4" w:space="4" w:color="auto"/>
          <w:bottom w:val="single" w:sz="4" w:space="1" w:color="auto"/>
          <w:right w:val="single" w:sz="4" w:space="4" w:color="auto"/>
        </w:pBdr>
        <w:spacing w:after="0" w:line="240" w:lineRule="auto"/>
        <w:rPr>
          <w:rFonts w:cs="Arial"/>
          <w:bCs/>
          <w:vanish/>
        </w:rPr>
      </w:pPr>
      <w:r>
        <w:rPr>
          <w:rFonts w:cs="Arial"/>
          <w:bCs/>
          <w:vanish/>
        </w:rPr>
        <w:t xml:space="preserve">Stellen Sie die </w:t>
      </w:r>
      <w:r w:rsidR="008E025D" w:rsidRPr="005F4BD1">
        <w:rPr>
          <w:rFonts w:cs="Arial"/>
          <w:bCs/>
          <w:vanish/>
        </w:rPr>
        <w:t xml:space="preserve">Entwicklung der </w:t>
      </w:r>
      <w:r w:rsidR="003C7029" w:rsidRPr="005F4BD1">
        <w:rPr>
          <w:rFonts w:cs="Arial"/>
          <w:bCs/>
          <w:vanish/>
        </w:rPr>
        <w:t>Giralgeldschöpfung im Euroraum</w:t>
      </w:r>
      <w:r w:rsidR="008E025D" w:rsidRPr="005F4BD1">
        <w:rPr>
          <w:rFonts w:cs="Arial"/>
          <w:bCs/>
          <w:vanish/>
        </w:rPr>
        <w:t xml:space="preserve"> zwischen 1980 und 2020</w:t>
      </w:r>
      <w:r w:rsidR="003C7029" w:rsidRPr="005F4BD1">
        <w:rPr>
          <w:rFonts w:cs="Arial"/>
          <w:bCs/>
          <w:vanish/>
        </w:rPr>
        <w:t xml:space="preserve"> </w:t>
      </w:r>
      <w:r w:rsidR="008E025D" w:rsidRPr="005F4BD1">
        <w:rPr>
          <w:rFonts w:cs="Arial"/>
          <w:bCs/>
          <w:vanish/>
        </w:rPr>
        <w:t xml:space="preserve">(siehe Tabelle auf Seite 6) </w:t>
      </w:r>
      <w:r w:rsidR="003C7029" w:rsidRPr="005F4BD1">
        <w:rPr>
          <w:rFonts w:cs="Arial"/>
          <w:bCs/>
          <w:vanish/>
        </w:rPr>
        <w:t>als Diagramm</w:t>
      </w:r>
      <w:r>
        <w:rPr>
          <w:rFonts w:cs="Arial"/>
          <w:bCs/>
          <w:vanish/>
        </w:rPr>
        <w:t xml:space="preserve"> dar</w:t>
      </w:r>
      <w:r w:rsidR="001F7BAD" w:rsidRPr="005F4BD1">
        <w:rPr>
          <w:rFonts w:cs="Arial"/>
          <w:bCs/>
          <w:vanish/>
        </w:rPr>
        <w:t>.</w:t>
      </w:r>
    </w:p>
    <w:p w14:paraId="594D5078" w14:textId="00A19E94" w:rsidR="005F4BD1" w:rsidRDefault="005F4BD1" w:rsidP="005F4BD1">
      <w:pPr>
        <w:pBdr>
          <w:top w:val="single" w:sz="4" w:space="1" w:color="auto"/>
          <w:left w:val="single" w:sz="4" w:space="4" w:color="auto"/>
          <w:bottom w:val="single" w:sz="4" w:space="1" w:color="auto"/>
          <w:right w:val="single" w:sz="4" w:space="4" w:color="auto"/>
        </w:pBdr>
        <w:spacing w:after="0" w:line="240" w:lineRule="auto"/>
        <w:rPr>
          <w:rFonts w:cs="Arial"/>
          <w:bCs/>
          <w:vanish/>
        </w:rPr>
      </w:pPr>
    </w:p>
    <w:p w14:paraId="534D43CB" w14:textId="366A6BAC" w:rsidR="005F4BD1" w:rsidRDefault="005F4BD1" w:rsidP="005F4BD1">
      <w:pPr>
        <w:spacing w:after="0" w:line="240" w:lineRule="auto"/>
        <w:rPr>
          <w:rFonts w:cs="Arial"/>
          <w:bCs/>
          <w:vanish/>
        </w:rPr>
      </w:pPr>
    </w:p>
    <w:p w14:paraId="2BB167CC" w14:textId="77777777" w:rsidR="005F4BD1" w:rsidRDefault="005F4BD1" w:rsidP="005F4BD1">
      <w:pPr>
        <w:spacing w:after="0" w:line="240" w:lineRule="auto"/>
        <w:rPr>
          <w:rFonts w:cs="Arial"/>
          <w:bCs/>
          <w:vanish/>
        </w:rPr>
      </w:pPr>
    </w:p>
    <w:p w14:paraId="1AF1F839" w14:textId="2B33C4BF" w:rsidR="005F4BD1" w:rsidRPr="00C526F4" w:rsidRDefault="005F4BD1" w:rsidP="005F4BD1">
      <w:pPr>
        <w:pBdr>
          <w:top w:val="single" w:sz="4" w:space="1" w:color="auto"/>
          <w:left w:val="single" w:sz="4" w:space="4" w:color="auto"/>
          <w:bottom w:val="single" w:sz="4" w:space="1" w:color="auto"/>
          <w:right w:val="single" w:sz="4" w:space="4" w:color="auto"/>
        </w:pBdr>
        <w:rPr>
          <w:rFonts w:eastAsia="Calibri" w:cs="Arial"/>
          <w:b/>
          <w:vanish/>
          <w:sz w:val="32"/>
        </w:rPr>
      </w:pPr>
      <w:r w:rsidRPr="00590C0C">
        <w:rPr>
          <w:vanish/>
          <w:sz w:val="120"/>
          <w:szCs w:val="120"/>
        </w:rPr>
        <w:sym w:font="Webdings" w:char="F069"/>
      </w:r>
      <w:r>
        <w:rPr>
          <w:rFonts w:eastAsia="Calibri" w:cs="Arial"/>
          <w:b/>
          <w:vanish/>
          <w:sz w:val="32"/>
        </w:rPr>
        <w:t>Hilfekarte 2</w:t>
      </w:r>
      <w:r w:rsidRPr="00C526F4">
        <w:rPr>
          <w:rFonts w:eastAsia="Calibri" w:cs="Arial"/>
          <w:b/>
          <w:vanish/>
          <w:sz w:val="32"/>
        </w:rPr>
        <w:t>:</w:t>
      </w:r>
    </w:p>
    <w:p w14:paraId="4FCC7308" w14:textId="1BC619F0" w:rsidR="005F4BD1" w:rsidRDefault="005F4BD1" w:rsidP="005F4BD1">
      <w:pPr>
        <w:pBdr>
          <w:top w:val="single" w:sz="4" w:space="1" w:color="auto"/>
          <w:left w:val="single" w:sz="4" w:space="4" w:color="auto"/>
          <w:bottom w:val="single" w:sz="4" w:space="1" w:color="auto"/>
          <w:right w:val="single" w:sz="4" w:space="4" w:color="auto"/>
        </w:pBdr>
        <w:spacing w:after="0" w:line="240" w:lineRule="auto"/>
        <w:rPr>
          <w:rFonts w:cs="Arial"/>
          <w:bCs/>
          <w:vanish/>
        </w:rPr>
      </w:pPr>
      <w:r w:rsidRPr="005F4BD1">
        <w:rPr>
          <w:rFonts w:cs="Arial"/>
          <w:bCs/>
          <w:vanish/>
        </w:rPr>
        <w:t>Stellen Sie die Geldschöpfung und Geldvernichtung der Geschäftsbanken als Strukturbilder dar: Kunde und Bank mit Pfeilen in Beziehung setzen (Kreditaufnahme bzw. Kredittilgung, Kauf bzw. Verkauf von Bankaktiva).</w:t>
      </w:r>
    </w:p>
    <w:p w14:paraId="7165C8F4" w14:textId="77777777" w:rsidR="005F4BD1" w:rsidRDefault="005F4BD1" w:rsidP="005F4BD1">
      <w:pPr>
        <w:pBdr>
          <w:top w:val="single" w:sz="4" w:space="1" w:color="auto"/>
          <w:left w:val="single" w:sz="4" w:space="4" w:color="auto"/>
          <w:bottom w:val="single" w:sz="4" w:space="1" w:color="auto"/>
          <w:right w:val="single" w:sz="4" w:space="4" w:color="auto"/>
        </w:pBdr>
        <w:spacing w:after="0" w:line="240" w:lineRule="auto"/>
        <w:rPr>
          <w:rFonts w:cs="Arial"/>
          <w:bCs/>
          <w:vanish/>
        </w:rPr>
      </w:pPr>
    </w:p>
    <w:p w14:paraId="3EB22F36" w14:textId="3FBE04BC" w:rsidR="005F4BD1" w:rsidRDefault="005F4BD1" w:rsidP="005F4BD1">
      <w:pPr>
        <w:spacing w:after="0" w:line="240" w:lineRule="auto"/>
        <w:rPr>
          <w:rFonts w:cs="Arial"/>
          <w:bCs/>
          <w:vanish/>
        </w:rPr>
      </w:pPr>
    </w:p>
    <w:p w14:paraId="77C86FF1" w14:textId="77777777" w:rsidR="005F4BD1" w:rsidRDefault="005F4BD1" w:rsidP="005F4BD1">
      <w:pPr>
        <w:spacing w:after="0" w:line="240" w:lineRule="auto"/>
        <w:rPr>
          <w:rFonts w:cs="Arial"/>
          <w:bCs/>
          <w:vanish/>
        </w:rPr>
      </w:pPr>
    </w:p>
    <w:p w14:paraId="38E218DC" w14:textId="3DDFA716" w:rsidR="005F4BD1" w:rsidRPr="00C526F4" w:rsidRDefault="005F4BD1" w:rsidP="005F4BD1">
      <w:pPr>
        <w:pBdr>
          <w:top w:val="single" w:sz="4" w:space="1" w:color="auto"/>
          <w:left w:val="single" w:sz="4" w:space="4" w:color="auto"/>
          <w:bottom w:val="single" w:sz="4" w:space="1" w:color="auto"/>
          <w:right w:val="single" w:sz="4" w:space="4" w:color="auto"/>
        </w:pBdr>
        <w:rPr>
          <w:rFonts w:eastAsia="Calibri" w:cs="Arial"/>
          <w:b/>
          <w:vanish/>
          <w:sz w:val="32"/>
        </w:rPr>
      </w:pPr>
      <w:r w:rsidRPr="00590C0C">
        <w:rPr>
          <w:vanish/>
          <w:sz w:val="120"/>
          <w:szCs w:val="120"/>
        </w:rPr>
        <w:sym w:font="Webdings" w:char="F069"/>
      </w:r>
      <w:r>
        <w:rPr>
          <w:rFonts w:eastAsia="Calibri" w:cs="Arial"/>
          <w:b/>
          <w:vanish/>
          <w:sz w:val="32"/>
        </w:rPr>
        <w:t>Hilfekarte 3</w:t>
      </w:r>
      <w:r w:rsidRPr="00C526F4">
        <w:rPr>
          <w:rFonts w:eastAsia="Calibri" w:cs="Arial"/>
          <w:b/>
          <w:vanish/>
          <w:sz w:val="32"/>
        </w:rPr>
        <w:t>:</w:t>
      </w:r>
    </w:p>
    <w:p w14:paraId="425D0EAE" w14:textId="26B26372" w:rsidR="005F4BD1" w:rsidRDefault="005F4BD1" w:rsidP="005F4BD1">
      <w:pPr>
        <w:pBdr>
          <w:top w:val="single" w:sz="4" w:space="1" w:color="auto"/>
          <w:left w:val="single" w:sz="4" w:space="4" w:color="auto"/>
          <w:bottom w:val="single" w:sz="4" w:space="1" w:color="auto"/>
          <w:right w:val="single" w:sz="4" w:space="4" w:color="auto"/>
        </w:pBdr>
        <w:spacing w:after="0" w:line="240" w:lineRule="auto"/>
        <w:rPr>
          <w:rFonts w:cs="Arial"/>
          <w:bCs/>
          <w:vanish/>
        </w:rPr>
      </w:pPr>
      <w:r w:rsidRPr="005F4BD1">
        <w:rPr>
          <w:rFonts w:cs="Arial"/>
          <w:bCs/>
          <w:vanish/>
        </w:rPr>
        <w:lastRenderedPageBreak/>
        <w:t>Stellen Sie die Geldschöpfung der Zentralbanken als Strukturbilder dar: EZB und Geschäftsbank mit Pfeilen in Beziehung setzen (Kreditaufnahme, Kauf von Wertpapieren durch Zentralbank und Gutschrift für Geschäftsbank).</w:t>
      </w:r>
    </w:p>
    <w:p w14:paraId="249DC80F" w14:textId="77777777" w:rsidR="005F4BD1" w:rsidRDefault="005F4BD1" w:rsidP="005F4BD1">
      <w:pPr>
        <w:pBdr>
          <w:top w:val="single" w:sz="4" w:space="1" w:color="auto"/>
          <w:left w:val="single" w:sz="4" w:space="4" w:color="auto"/>
          <w:bottom w:val="single" w:sz="4" w:space="1" w:color="auto"/>
          <w:right w:val="single" w:sz="4" w:space="4" w:color="auto"/>
        </w:pBdr>
        <w:spacing w:after="0" w:line="240" w:lineRule="auto"/>
        <w:rPr>
          <w:rFonts w:cs="Arial"/>
          <w:bCs/>
          <w:vanish/>
        </w:rPr>
      </w:pPr>
    </w:p>
    <w:p w14:paraId="3FBA42A3" w14:textId="77777777" w:rsidR="005F4BD1" w:rsidRPr="005F4BD1" w:rsidRDefault="005F4BD1" w:rsidP="005F4BD1">
      <w:pPr>
        <w:spacing w:after="0" w:line="240" w:lineRule="auto"/>
        <w:rPr>
          <w:rFonts w:cs="Arial"/>
          <w:bCs/>
          <w:vanish/>
        </w:rPr>
      </w:pPr>
    </w:p>
    <w:sectPr w:rsidR="005F4BD1" w:rsidRPr="005F4BD1" w:rsidSect="004E407D">
      <w:headerReference w:type="default" r:id="rId23"/>
      <w:footerReference w:type="default" r:id="rId24"/>
      <w:type w:val="continuous"/>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ABCF0" w14:textId="77777777" w:rsidR="00025EDC" w:rsidRDefault="00025EDC" w:rsidP="00394779">
      <w:pPr>
        <w:spacing w:after="0" w:line="240" w:lineRule="auto"/>
      </w:pPr>
      <w:r>
        <w:separator/>
      </w:r>
    </w:p>
  </w:endnote>
  <w:endnote w:type="continuationSeparator" w:id="0">
    <w:p w14:paraId="7F6C93B3" w14:textId="77777777" w:rsidR="00025EDC" w:rsidRDefault="00025EDC"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itilliumText25">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025EDC" w:rsidRPr="00921C3E" w14:paraId="6AFC0AA3" w14:textId="77777777" w:rsidTr="00D61CDA">
      <w:tc>
        <w:tcPr>
          <w:tcW w:w="4306" w:type="dxa"/>
          <w:vAlign w:val="bottom"/>
        </w:tcPr>
        <w:p w14:paraId="55CD050E" w14:textId="08B02240" w:rsidR="00025EDC" w:rsidRPr="00A16C25" w:rsidRDefault="00025EDC" w:rsidP="004C310B">
          <w:pPr>
            <w:pStyle w:val="Fuzeile"/>
            <w:rPr>
              <w:rFonts w:cs="Arial"/>
              <w:bCs/>
              <w:sz w:val="14"/>
              <w:szCs w:val="14"/>
            </w:rPr>
          </w:pPr>
          <w:r>
            <w:rPr>
              <w:rFonts w:cs="Arial"/>
              <w:bCs/>
              <w:sz w:val="14"/>
              <w:szCs w:val="14"/>
            </w:rPr>
            <w:fldChar w:fldCharType="begin"/>
          </w:r>
          <w:r>
            <w:rPr>
              <w:rFonts w:cs="Arial"/>
              <w:bCs/>
              <w:sz w:val="14"/>
              <w:szCs w:val="14"/>
            </w:rPr>
            <w:instrText xml:space="preserve"> FILENAME   \* MERGEFORMAT </w:instrText>
          </w:r>
          <w:r>
            <w:rPr>
              <w:rFonts w:cs="Arial"/>
              <w:bCs/>
              <w:sz w:val="14"/>
              <w:szCs w:val="14"/>
            </w:rPr>
            <w:fldChar w:fldCharType="separate"/>
          </w:r>
          <w:r w:rsidR="00A15D07">
            <w:rPr>
              <w:rFonts w:cs="Arial"/>
              <w:bCs/>
              <w:noProof/>
              <w:sz w:val="14"/>
              <w:szCs w:val="14"/>
            </w:rPr>
            <w:t>WBK-LF10-LS07-Geldschöpfung.docx</w:t>
          </w:r>
          <w:r>
            <w:rPr>
              <w:rFonts w:cs="Arial"/>
              <w:bCs/>
              <w:sz w:val="14"/>
              <w:szCs w:val="14"/>
            </w:rPr>
            <w:fldChar w:fldCharType="end"/>
          </w:r>
        </w:p>
      </w:tc>
      <w:tc>
        <w:tcPr>
          <w:tcW w:w="4307" w:type="dxa"/>
          <w:vAlign w:val="bottom"/>
        </w:tcPr>
        <w:p w14:paraId="209D86BB" w14:textId="57BA0C7C" w:rsidR="00025EDC" w:rsidRPr="00A16C25" w:rsidRDefault="00025EDC" w:rsidP="004C310B">
          <w:pPr>
            <w:pStyle w:val="Fuzeile"/>
            <w:rPr>
              <w:rFonts w:cs="Arial"/>
              <w:bCs/>
              <w:sz w:val="14"/>
              <w:szCs w:val="14"/>
            </w:rPr>
          </w:pPr>
          <w:r>
            <w:rPr>
              <w:rFonts w:cs="Arial"/>
              <w:bCs/>
              <w:sz w:val="14"/>
              <w:szCs w:val="14"/>
            </w:rPr>
            <w:t>Stand: 2022</w:t>
          </w:r>
        </w:p>
      </w:tc>
      <w:tc>
        <w:tcPr>
          <w:tcW w:w="1026" w:type="dxa"/>
          <w:vAlign w:val="bottom"/>
        </w:tcPr>
        <w:p w14:paraId="564688D4" w14:textId="1EA4004E" w:rsidR="00025EDC" w:rsidRPr="00A16C25" w:rsidRDefault="00025EDC"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4E407D">
            <w:rPr>
              <w:rFonts w:cs="Arial"/>
              <w:bCs/>
              <w:noProof/>
              <w:sz w:val="14"/>
              <w:szCs w:val="14"/>
            </w:rPr>
            <w:t>12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4E407D">
            <w:rPr>
              <w:rFonts w:cs="Arial"/>
              <w:bCs/>
              <w:noProof/>
              <w:sz w:val="14"/>
              <w:szCs w:val="14"/>
            </w:rPr>
            <w:t>12</w:t>
          </w:r>
          <w:r w:rsidRPr="00A16C25">
            <w:rPr>
              <w:rFonts w:cs="Arial"/>
              <w:sz w:val="14"/>
              <w:szCs w:val="14"/>
            </w:rPr>
            <w:fldChar w:fldCharType="end"/>
          </w:r>
        </w:p>
      </w:tc>
    </w:tr>
  </w:tbl>
  <w:p w14:paraId="3810DAA9" w14:textId="64E4A94F" w:rsidR="00025EDC" w:rsidRPr="00025E0D" w:rsidRDefault="00025EDC">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2DEF7" w14:textId="77777777" w:rsidR="00025EDC" w:rsidRDefault="00025EDC" w:rsidP="00394779">
      <w:pPr>
        <w:spacing w:after="0" w:line="240" w:lineRule="auto"/>
      </w:pPr>
      <w:r>
        <w:separator/>
      </w:r>
    </w:p>
  </w:footnote>
  <w:footnote w:type="continuationSeparator" w:id="0">
    <w:p w14:paraId="634C0745" w14:textId="77777777" w:rsidR="00025EDC" w:rsidRDefault="00025EDC"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14FA3DA3" w:rsidR="00025EDC" w:rsidRPr="00E156D0" w:rsidRDefault="00025EDC"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025EDC" w:rsidRPr="007A4E9F" w:rsidRDefault="00025EDC"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7"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">
              <v:shapetype id="_x0000_t202" coordsize="21600,21600" o:spt="202" path="m,l,21600r21600,l21600,xe">
                <v:stroke joinstyle="miter"/>
                <v:path gradientshapeok="t" o:connecttype="rect"/>
              </v:shapetype>
              <v:shape id="_x0000_s1028"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A76BF63" w14:textId="65B7CD72" w:rsidR="001222B1" w:rsidRPr="007A4E9F" w:rsidRDefault="001222B1"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9"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025EDC" w:rsidRPr="008802B2" w:rsidRDefault="00025EDC"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0"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lSPR0yICAAAiBAAADgAAAAAAAAAAAAAAAAAuAgAAZHJzL2Uyb0RvYy54&#10;bWxQSwECLQAUAAYACAAAACEAwqS+Nt8AAAAKAQAADwAAAAAAAAAAAAAAAAB8BAAAZHJzL2Rvd25y&#10;ZXYueG1sUEsFBgAAAAAEAAQA8wAAAIgFAAAAAA==&#10;" stroked="f">
              <v:textbox>
                <w:txbxContent>
                  <w:p w14:paraId="59C41A84" w14:textId="6407440E" w:rsidR="001222B1" w:rsidRPr="008802B2" w:rsidRDefault="001222B1"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26D"/>
    <w:multiLevelType w:val="hybridMultilevel"/>
    <w:tmpl w:val="DED4F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91F41"/>
    <w:multiLevelType w:val="hybridMultilevel"/>
    <w:tmpl w:val="9DB6B8B6"/>
    <w:lvl w:ilvl="0" w:tplc="BE8EFB0C">
      <w:start w:val="26"/>
      <w:numFmt w:val="bullet"/>
      <w:lvlText w:val="-"/>
      <w:lvlJc w:val="left"/>
      <w:pPr>
        <w:ind w:left="394" w:hanging="360"/>
      </w:pPr>
      <w:rPr>
        <w:rFonts w:ascii="Times New Roman" w:eastAsia="Times New Roman" w:hAnsi="Times New Roman" w:cs="Times New Roman"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2" w15:restartNumberingAfterBreak="0">
    <w:nsid w:val="192565C3"/>
    <w:multiLevelType w:val="hybridMultilevel"/>
    <w:tmpl w:val="75FA88B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 w15:restartNumberingAfterBreak="0">
    <w:nsid w:val="1BC511E6"/>
    <w:multiLevelType w:val="hybridMultilevel"/>
    <w:tmpl w:val="E20A5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096CD8"/>
    <w:multiLevelType w:val="hybridMultilevel"/>
    <w:tmpl w:val="446AEB80"/>
    <w:lvl w:ilvl="0" w:tplc="018EE7B8">
      <w:start w:val="26"/>
      <w:numFmt w:val="bullet"/>
      <w:lvlText w:val="-"/>
      <w:lvlJc w:val="left"/>
      <w:pPr>
        <w:ind w:left="394" w:hanging="360"/>
      </w:pPr>
      <w:rPr>
        <w:rFonts w:ascii="Times New Roman" w:eastAsia="Times New Roman" w:hAnsi="Times New Roman" w:cs="Times New Roman"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5" w15:restartNumberingAfterBreak="0">
    <w:nsid w:val="232F03AF"/>
    <w:multiLevelType w:val="hybridMultilevel"/>
    <w:tmpl w:val="DE145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AF149D"/>
    <w:multiLevelType w:val="hybridMultilevel"/>
    <w:tmpl w:val="D9589E5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99277BD"/>
    <w:multiLevelType w:val="hybridMultilevel"/>
    <w:tmpl w:val="8634165A"/>
    <w:lvl w:ilvl="0" w:tplc="DE946CD2">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45296A"/>
    <w:multiLevelType w:val="hybridMultilevel"/>
    <w:tmpl w:val="E66C62AC"/>
    <w:lvl w:ilvl="0" w:tplc="FFFFFFFF">
      <w:start w:val="1"/>
      <w:numFmt w:val="decimal"/>
      <w:lvlText w:val="%1."/>
      <w:lvlJc w:val="left"/>
      <w:pPr>
        <w:ind w:left="473" w:hanging="360"/>
      </w:p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9" w15:restartNumberingAfterBreak="0">
    <w:nsid w:val="2B9C28B8"/>
    <w:multiLevelType w:val="hybridMultilevel"/>
    <w:tmpl w:val="C47A0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8A26FD"/>
    <w:multiLevelType w:val="hybridMultilevel"/>
    <w:tmpl w:val="D94CC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7461A6"/>
    <w:multiLevelType w:val="hybridMultilevel"/>
    <w:tmpl w:val="ADB68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B4388C"/>
    <w:multiLevelType w:val="hybridMultilevel"/>
    <w:tmpl w:val="12C69B3E"/>
    <w:lvl w:ilvl="0" w:tplc="87788B90">
      <w:start w:val="2"/>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3" w15:restartNumberingAfterBreak="0">
    <w:nsid w:val="472B0004"/>
    <w:multiLevelType w:val="multilevel"/>
    <w:tmpl w:val="0F5CBC30"/>
    <w:styleLink w:val="LS-berschriftengliederung"/>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36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25A1962"/>
    <w:multiLevelType w:val="hybridMultilevel"/>
    <w:tmpl w:val="F4D4169A"/>
    <w:lvl w:ilvl="0" w:tplc="6CC2DCA0">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89037C"/>
    <w:multiLevelType w:val="hybridMultilevel"/>
    <w:tmpl w:val="B6961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D02D33"/>
    <w:multiLevelType w:val="hybridMultilevel"/>
    <w:tmpl w:val="E66C62AC"/>
    <w:lvl w:ilvl="0" w:tplc="0407000F">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8"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9" w15:restartNumberingAfterBreak="0">
    <w:nsid w:val="65D86F0A"/>
    <w:multiLevelType w:val="hybridMultilevel"/>
    <w:tmpl w:val="68CCB6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71C7A8E"/>
    <w:multiLevelType w:val="hybridMultilevel"/>
    <w:tmpl w:val="EAC66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31169A"/>
    <w:multiLevelType w:val="hybridMultilevel"/>
    <w:tmpl w:val="B00EA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2C4030"/>
    <w:multiLevelType w:val="hybridMultilevel"/>
    <w:tmpl w:val="02B07150"/>
    <w:lvl w:ilvl="0" w:tplc="764A5ADC">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7A5BBB"/>
    <w:multiLevelType w:val="hybridMultilevel"/>
    <w:tmpl w:val="D70CA222"/>
    <w:lvl w:ilvl="0" w:tplc="04070001">
      <w:start w:val="1"/>
      <w:numFmt w:val="bullet"/>
      <w:lvlText w:val=""/>
      <w:lvlJc w:val="left"/>
      <w:pPr>
        <w:ind w:left="831" w:hanging="360"/>
      </w:pPr>
      <w:rPr>
        <w:rFonts w:ascii="Symbol" w:hAnsi="Symbol" w:hint="default"/>
      </w:rPr>
    </w:lvl>
    <w:lvl w:ilvl="1" w:tplc="04070003" w:tentative="1">
      <w:start w:val="1"/>
      <w:numFmt w:val="bullet"/>
      <w:lvlText w:val="o"/>
      <w:lvlJc w:val="left"/>
      <w:pPr>
        <w:ind w:left="1551" w:hanging="360"/>
      </w:pPr>
      <w:rPr>
        <w:rFonts w:ascii="Courier New" w:hAnsi="Courier New" w:cs="Courier New" w:hint="default"/>
      </w:rPr>
    </w:lvl>
    <w:lvl w:ilvl="2" w:tplc="04070005" w:tentative="1">
      <w:start w:val="1"/>
      <w:numFmt w:val="bullet"/>
      <w:lvlText w:val=""/>
      <w:lvlJc w:val="left"/>
      <w:pPr>
        <w:ind w:left="2271" w:hanging="360"/>
      </w:pPr>
      <w:rPr>
        <w:rFonts w:ascii="Wingdings" w:hAnsi="Wingdings" w:hint="default"/>
      </w:rPr>
    </w:lvl>
    <w:lvl w:ilvl="3" w:tplc="04070001" w:tentative="1">
      <w:start w:val="1"/>
      <w:numFmt w:val="bullet"/>
      <w:lvlText w:val=""/>
      <w:lvlJc w:val="left"/>
      <w:pPr>
        <w:ind w:left="2991" w:hanging="360"/>
      </w:pPr>
      <w:rPr>
        <w:rFonts w:ascii="Symbol" w:hAnsi="Symbol" w:hint="default"/>
      </w:rPr>
    </w:lvl>
    <w:lvl w:ilvl="4" w:tplc="04070003" w:tentative="1">
      <w:start w:val="1"/>
      <w:numFmt w:val="bullet"/>
      <w:lvlText w:val="o"/>
      <w:lvlJc w:val="left"/>
      <w:pPr>
        <w:ind w:left="3711" w:hanging="360"/>
      </w:pPr>
      <w:rPr>
        <w:rFonts w:ascii="Courier New" w:hAnsi="Courier New" w:cs="Courier New" w:hint="default"/>
      </w:rPr>
    </w:lvl>
    <w:lvl w:ilvl="5" w:tplc="04070005" w:tentative="1">
      <w:start w:val="1"/>
      <w:numFmt w:val="bullet"/>
      <w:lvlText w:val=""/>
      <w:lvlJc w:val="left"/>
      <w:pPr>
        <w:ind w:left="4431" w:hanging="360"/>
      </w:pPr>
      <w:rPr>
        <w:rFonts w:ascii="Wingdings" w:hAnsi="Wingdings" w:hint="default"/>
      </w:rPr>
    </w:lvl>
    <w:lvl w:ilvl="6" w:tplc="04070001" w:tentative="1">
      <w:start w:val="1"/>
      <w:numFmt w:val="bullet"/>
      <w:lvlText w:val=""/>
      <w:lvlJc w:val="left"/>
      <w:pPr>
        <w:ind w:left="5151" w:hanging="360"/>
      </w:pPr>
      <w:rPr>
        <w:rFonts w:ascii="Symbol" w:hAnsi="Symbol" w:hint="default"/>
      </w:rPr>
    </w:lvl>
    <w:lvl w:ilvl="7" w:tplc="04070003" w:tentative="1">
      <w:start w:val="1"/>
      <w:numFmt w:val="bullet"/>
      <w:lvlText w:val="o"/>
      <w:lvlJc w:val="left"/>
      <w:pPr>
        <w:ind w:left="5871" w:hanging="360"/>
      </w:pPr>
      <w:rPr>
        <w:rFonts w:ascii="Courier New" w:hAnsi="Courier New" w:cs="Courier New" w:hint="default"/>
      </w:rPr>
    </w:lvl>
    <w:lvl w:ilvl="8" w:tplc="04070005" w:tentative="1">
      <w:start w:val="1"/>
      <w:numFmt w:val="bullet"/>
      <w:lvlText w:val=""/>
      <w:lvlJc w:val="left"/>
      <w:pPr>
        <w:ind w:left="6591" w:hanging="360"/>
      </w:pPr>
      <w:rPr>
        <w:rFonts w:ascii="Wingdings" w:hAnsi="Wingdings" w:hint="default"/>
      </w:rPr>
    </w:lvl>
  </w:abstractNum>
  <w:abstractNum w:abstractNumId="24" w15:restartNumberingAfterBreak="0">
    <w:nsid w:val="71290697"/>
    <w:multiLevelType w:val="hybridMultilevel"/>
    <w:tmpl w:val="ED965AFA"/>
    <w:lvl w:ilvl="0" w:tplc="04070001">
      <w:start w:val="1"/>
      <w:numFmt w:val="bullet"/>
      <w:lvlText w:val=""/>
      <w:lvlJc w:val="left"/>
      <w:pPr>
        <w:ind w:left="1193" w:hanging="360"/>
      </w:pPr>
      <w:rPr>
        <w:rFonts w:ascii="Symbol" w:hAnsi="Symbo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25" w15:restartNumberingAfterBreak="0">
    <w:nsid w:val="78DD0E67"/>
    <w:multiLevelType w:val="hybridMultilevel"/>
    <w:tmpl w:val="91447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38539B"/>
    <w:multiLevelType w:val="hybridMultilevel"/>
    <w:tmpl w:val="44EEACE8"/>
    <w:lvl w:ilvl="0" w:tplc="04070001">
      <w:start w:val="1"/>
      <w:numFmt w:val="bullet"/>
      <w:lvlText w:val=""/>
      <w:lvlJc w:val="left"/>
      <w:pPr>
        <w:ind w:left="1193" w:hanging="360"/>
      </w:pPr>
      <w:rPr>
        <w:rFonts w:ascii="Symbol" w:hAnsi="Symbo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27" w15:restartNumberingAfterBreak="0">
    <w:nsid w:val="7B6D5124"/>
    <w:multiLevelType w:val="hybridMultilevel"/>
    <w:tmpl w:val="2FC6349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C7431CC"/>
    <w:multiLevelType w:val="hybridMultilevel"/>
    <w:tmpl w:val="6A4081B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8"/>
  </w:num>
  <w:num w:numId="2">
    <w:abstractNumId w:val="16"/>
  </w:num>
  <w:num w:numId="3">
    <w:abstractNumId w:val="7"/>
  </w:num>
  <w:num w:numId="4">
    <w:abstractNumId w:val="13"/>
  </w:num>
  <w:num w:numId="5">
    <w:abstractNumId w:val="6"/>
  </w:num>
  <w:num w:numId="6">
    <w:abstractNumId w:val="28"/>
  </w:num>
  <w:num w:numId="7">
    <w:abstractNumId w:val="14"/>
  </w:num>
  <w:num w:numId="8">
    <w:abstractNumId w:val="17"/>
  </w:num>
  <w:num w:numId="9">
    <w:abstractNumId w:val="10"/>
  </w:num>
  <w:num w:numId="10">
    <w:abstractNumId w:val="25"/>
  </w:num>
  <w:num w:numId="11">
    <w:abstractNumId w:val="21"/>
  </w:num>
  <w:num w:numId="12">
    <w:abstractNumId w:val="2"/>
  </w:num>
  <w:num w:numId="13">
    <w:abstractNumId w:val="15"/>
  </w:num>
  <w:num w:numId="14">
    <w:abstractNumId w:val="19"/>
  </w:num>
  <w:num w:numId="15">
    <w:abstractNumId w:val="5"/>
  </w:num>
  <w:num w:numId="16">
    <w:abstractNumId w:val="27"/>
  </w:num>
  <w:num w:numId="17">
    <w:abstractNumId w:val="23"/>
  </w:num>
  <w:num w:numId="18">
    <w:abstractNumId w:val="20"/>
  </w:num>
  <w:num w:numId="19">
    <w:abstractNumId w:val="8"/>
  </w:num>
  <w:num w:numId="20">
    <w:abstractNumId w:val="24"/>
  </w:num>
  <w:num w:numId="21">
    <w:abstractNumId w:val="26"/>
  </w:num>
  <w:num w:numId="22">
    <w:abstractNumId w:val="12"/>
  </w:num>
  <w:num w:numId="23">
    <w:abstractNumId w:val="11"/>
  </w:num>
  <w:num w:numId="24">
    <w:abstractNumId w:val="9"/>
  </w:num>
  <w:num w:numId="25">
    <w:abstractNumId w:val="16"/>
  </w:num>
  <w:num w:numId="26">
    <w:abstractNumId w:val="3"/>
  </w:num>
  <w:num w:numId="27">
    <w:abstractNumId w:val="0"/>
  </w:num>
  <w:num w:numId="28">
    <w:abstractNumId w:val="22"/>
  </w:num>
  <w:num w:numId="29">
    <w:abstractNumId w:val="1"/>
  </w:num>
  <w:num w:numId="30">
    <w:abstractNumId w:val="16"/>
  </w:num>
  <w:num w:numId="31">
    <w:abstractNumId w:val="16"/>
  </w:num>
  <w:num w:numId="32">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20F1"/>
    <w:rsid w:val="000030BA"/>
    <w:rsid w:val="0000555B"/>
    <w:rsid w:val="00007B08"/>
    <w:rsid w:val="00012655"/>
    <w:rsid w:val="000217BF"/>
    <w:rsid w:val="00021AD8"/>
    <w:rsid w:val="00023549"/>
    <w:rsid w:val="000235B1"/>
    <w:rsid w:val="00023C28"/>
    <w:rsid w:val="00023C9C"/>
    <w:rsid w:val="0002431A"/>
    <w:rsid w:val="00024334"/>
    <w:rsid w:val="00025E0D"/>
    <w:rsid w:val="00025EDC"/>
    <w:rsid w:val="00026805"/>
    <w:rsid w:val="00027B45"/>
    <w:rsid w:val="00027C3A"/>
    <w:rsid w:val="0003675B"/>
    <w:rsid w:val="00041028"/>
    <w:rsid w:val="00041BFF"/>
    <w:rsid w:val="00046633"/>
    <w:rsid w:val="00047DCB"/>
    <w:rsid w:val="00050CBA"/>
    <w:rsid w:val="00051D03"/>
    <w:rsid w:val="00051F8E"/>
    <w:rsid w:val="00054C3E"/>
    <w:rsid w:val="00062792"/>
    <w:rsid w:val="00065FD7"/>
    <w:rsid w:val="00067D81"/>
    <w:rsid w:val="00072D60"/>
    <w:rsid w:val="00073A38"/>
    <w:rsid w:val="000775C4"/>
    <w:rsid w:val="00080FF6"/>
    <w:rsid w:val="00084085"/>
    <w:rsid w:val="00084468"/>
    <w:rsid w:val="00087055"/>
    <w:rsid w:val="0009040B"/>
    <w:rsid w:val="00090E04"/>
    <w:rsid w:val="00092DFE"/>
    <w:rsid w:val="00095110"/>
    <w:rsid w:val="00097AB8"/>
    <w:rsid w:val="000A110D"/>
    <w:rsid w:val="000A2187"/>
    <w:rsid w:val="000A242C"/>
    <w:rsid w:val="000A36E1"/>
    <w:rsid w:val="000A5C00"/>
    <w:rsid w:val="000A691F"/>
    <w:rsid w:val="000B3098"/>
    <w:rsid w:val="000B4AF8"/>
    <w:rsid w:val="000C133D"/>
    <w:rsid w:val="000C2AA8"/>
    <w:rsid w:val="000C59BA"/>
    <w:rsid w:val="000C614E"/>
    <w:rsid w:val="000C61AC"/>
    <w:rsid w:val="000C70E7"/>
    <w:rsid w:val="000D6999"/>
    <w:rsid w:val="000D7058"/>
    <w:rsid w:val="000D76C1"/>
    <w:rsid w:val="000E2293"/>
    <w:rsid w:val="000E3F83"/>
    <w:rsid w:val="000E643A"/>
    <w:rsid w:val="000E6455"/>
    <w:rsid w:val="000F49F6"/>
    <w:rsid w:val="00101627"/>
    <w:rsid w:val="00102F33"/>
    <w:rsid w:val="00102F6C"/>
    <w:rsid w:val="00103567"/>
    <w:rsid w:val="001052EC"/>
    <w:rsid w:val="00106639"/>
    <w:rsid w:val="0010690A"/>
    <w:rsid w:val="00110C5F"/>
    <w:rsid w:val="00116F3E"/>
    <w:rsid w:val="0012088E"/>
    <w:rsid w:val="001222B1"/>
    <w:rsid w:val="00125E00"/>
    <w:rsid w:val="00126392"/>
    <w:rsid w:val="001300B3"/>
    <w:rsid w:val="00131B8D"/>
    <w:rsid w:val="00132787"/>
    <w:rsid w:val="00133D84"/>
    <w:rsid w:val="001342C6"/>
    <w:rsid w:val="001368F1"/>
    <w:rsid w:val="0013719D"/>
    <w:rsid w:val="0014024D"/>
    <w:rsid w:val="00143388"/>
    <w:rsid w:val="0014341A"/>
    <w:rsid w:val="00143A98"/>
    <w:rsid w:val="0014483D"/>
    <w:rsid w:val="001458AF"/>
    <w:rsid w:val="001471E2"/>
    <w:rsid w:val="001475CC"/>
    <w:rsid w:val="00147F4B"/>
    <w:rsid w:val="00152F34"/>
    <w:rsid w:val="00160F3A"/>
    <w:rsid w:val="00162A65"/>
    <w:rsid w:val="0016414F"/>
    <w:rsid w:val="00167CF6"/>
    <w:rsid w:val="001723CD"/>
    <w:rsid w:val="001769DB"/>
    <w:rsid w:val="001771BB"/>
    <w:rsid w:val="00187046"/>
    <w:rsid w:val="00187A09"/>
    <w:rsid w:val="00190951"/>
    <w:rsid w:val="00196734"/>
    <w:rsid w:val="001A16F2"/>
    <w:rsid w:val="001A34AA"/>
    <w:rsid w:val="001A41FD"/>
    <w:rsid w:val="001B1389"/>
    <w:rsid w:val="001B262F"/>
    <w:rsid w:val="001B2FAE"/>
    <w:rsid w:val="001B780A"/>
    <w:rsid w:val="001C2F7B"/>
    <w:rsid w:val="001C62C6"/>
    <w:rsid w:val="001D0BDD"/>
    <w:rsid w:val="001E0829"/>
    <w:rsid w:val="001E2F93"/>
    <w:rsid w:val="001E47AD"/>
    <w:rsid w:val="001E5096"/>
    <w:rsid w:val="001F59AF"/>
    <w:rsid w:val="001F6F0F"/>
    <w:rsid w:val="001F7BAD"/>
    <w:rsid w:val="0020060E"/>
    <w:rsid w:val="00200BAD"/>
    <w:rsid w:val="00202E75"/>
    <w:rsid w:val="00202F55"/>
    <w:rsid w:val="00204104"/>
    <w:rsid w:val="00225540"/>
    <w:rsid w:val="00226675"/>
    <w:rsid w:val="002322A7"/>
    <w:rsid w:val="002406B7"/>
    <w:rsid w:val="00243174"/>
    <w:rsid w:val="002435C2"/>
    <w:rsid w:val="00243F01"/>
    <w:rsid w:val="002440A7"/>
    <w:rsid w:val="0024431A"/>
    <w:rsid w:val="00244F36"/>
    <w:rsid w:val="002466AD"/>
    <w:rsid w:val="00250B0D"/>
    <w:rsid w:val="0025486E"/>
    <w:rsid w:val="00260489"/>
    <w:rsid w:val="00261686"/>
    <w:rsid w:val="00265B7D"/>
    <w:rsid w:val="00272BB6"/>
    <w:rsid w:val="002745E8"/>
    <w:rsid w:val="00276C6C"/>
    <w:rsid w:val="00276F9A"/>
    <w:rsid w:val="00277644"/>
    <w:rsid w:val="0027787B"/>
    <w:rsid w:val="00281D86"/>
    <w:rsid w:val="002855B6"/>
    <w:rsid w:val="002877A4"/>
    <w:rsid w:val="00287CD4"/>
    <w:rsid w:val="00290099"/>
    <w:rsid w:val="00290AD3"/>
    <w:rsid w:val="00291CD2"/>
    <w:rsid w:val="00293313"/>
    <w:rsid w:val="002948B7"/>
    <w:rsid w:val="00294CFC"/>
    <w:rsid w:val="00297D4D"/>
    <w:rsid w:val="002A1AFF"/>
    <w:rsid w:val="002A1B87"/>
    <w:rsid w:val="002A23B6"/>
    <w:rsid w:val="002A66AF"/>
    <w:rsid w:val="002B2741"/>
    <w:rsid w:val="002B49E8"/>
    <w:rsid w:val="002B7605"/>
    <w:rsid w:val="002C0042"/>
    <w:rsid w:val="002C0043"/>
    <w:rsid w:val="002C40E6"/>
    <w:rsid w:val="002D3AF9"/>
    <w:rsid w:val="002D5D52"/>
    <w:rsid w:val="002D680C"/>
    <w:rsid w:val="002D7D7D"/>
    <w:rsid w:val="002D7EAC"/>
    <w:rsid w:val="002E1811"/>
    <w:rsid w:val="002E244E"/>
    <w:rsid w:val="002E26DE"/>
    <w:rsid w:val="002E3B02"/>
    <w:rsid w:val="002E584B"/>
    <w:rsid w:val="002E61A0"/>
    <w:rsid w:val="002E7EA7"/>
    <w:rsid w:val="002F1795"/>
    <w:rsid w:val="002F26A2"/>
    <w:rsid w:val="002F324E"/>
    <w:rsid w:val="00302A6F"/>
    <w:rsid w:val="00304A34"/>
    <w:rsid w:val="00305CCA"/>
    <w:rsid w:val="00310E3A"/>
    <w:rsid w:val="00313898"/>
    <w:rsid w:val="0031464C"/>
    <w:rsid w:val="00314F98"/>
    <w:rsid w:val="00316229"/>
    <w:rsid w:val="00316CB3"/>
    <w:rsid w:val="00317F20"/>
    <w:rsid w:val="00320450"/>
    <w:rsid w:val="003223AA"/>
    <w:rsid w:val="00322679"/>
    <w:rsid w:val="00323ED9"/>
    <w:rsid w:val="0032440D"/>
    <w:rsid w:val="00327106"/>
    <w:rsid w:val="00330710"/>
    <w:rsid w:val="0033080F"/>
    <w:rsid w:val="0033206A"/>
    <w:rsid w:val="003327E3"/>
    <w:rsid w:val="00336C92"/>
    <w:rsid w:val="003405E1"/>
    <w:rsid w:val="003410FB"/>
    <w:rsid w:val="003477B3"/>
    <w:rsid w:val="00347C29"/>
    <w:rsid w:val="00347D12"/>
    <w:rsid w:val="0035130B"/>
    <w:rsid w:val="00352087"/>
    <w:rsid w:val="00352138"/>
    <w:rsid w:val="00352D13"/>
    <w:rsid w:val="00353273"/>
    <w:rsid w:val="003555EC"/>
    <w:rsid w:val="0036077D"/>
    <w:rsid w:val="003626A5"/>
    <w:rsid w:val="0036343F"/>
    <w:rsid w:val="00363605"/>
    <w:rsid w:val="00366232"/>
    <w:rsid w:val="00371BA1"/>
    <w:rsid w:val="003723D3"/>
    <w:rsid w:val="0037678F"/>
    <w:rsid w:val="00376BD3"/>
    <w:rsid w:val="0038053D"/>
    <w:rsid w:val="00383366"/>
    <w:rsid w:val="003865CE"/>
    <w:rsid w:val="00390C13"/>
    <w:rsid w:val="00392B48"/>
    <w:rsid w:val="00392EE4"/>
    <w:rsid w:val="00393162"/>
    <w:rsid w:val="00393335"/>
    <w:rsid w:val="00394779"/>
    <w:rsid w:val="00396197"/>
    <w:rsid w:val="003966CC"/>
    <w:rsid w:val="00397AD0"/>
    <w:rsid w:val="00397C3C"/>
    <w:rsid w:val="003A37A9"/>
    <w:rsid w:val="003A403C"/>
    <w:rsid w:val="003B0AE7"/>
    <w:rsid w:val="003B0B08"/>
    <w:rsid w:val="003B26C6"/>
    <w:rsid w:val="003B26C7"/>
    <w:rsid w:val="003B41BF"/>
    <w:rsid w:val="003B4A5A"/>
    <w:rsid w:val="003B545C"/>
    <w:rsid w:val="003B77EF"/>
    <w:rsid w:val="003C09ED"/>
    <w:rsid w:val="003C4AE5"/>
    <w:rsid w:val="003C5CAF"/>
    <w:rsid w:val="003C6F11"/>
    <w:rsid w:val="003C7029"/>
    <w:rsid w:val="003C7036"/>
    <w:rsid w:val="003C7E57"/>
    <w:rsid w:val="003D280B"/>
    <w:rsid w:val="003D41BB"/>
    <w:rsid w:val="003D4B40"/>
    <w:rsid w:val="003D6B4E"/>
    <w:rsid w:val="003E43C7"/>
    <w:rsid w:val="003F00E7"/>
    <w:rsid w:val="003F2C0E"/>
    <w:rsid w:val="003F50E3"/>
    <w:rsid w:val="003F5EB0"/>
    <w:rsid w:val="003F6F0E"/>
    <w:rsid w:val="003F7260"/>
    <w:rsid w:val="00410B97"/>
    <w:rsid w:val="0041406D"/>
    <w:rsid w:val="00420148"/>
    <w:rsid w:val="0042595A"/>
    <w:rsid w:val="0043111D"/>
    <w:rsid w:val="00431AAC"/>
    <w:rsid w:val="00434755"/>
    <w:rsid w:val="00436980"/>
    <w:rsid w:val="00440721"/>
    <w:rsid w:val="00442444"/>
    <w:rsid w:val="004442BB"/>
    <w:rsid w:val="00447CD2"/>
    <w:rsid w:val="00451BD1"/>
    <w:rsid w:val="00452359"/>
    <w:rsid w:val="0045247A"/>
    <w:rsid w:val="00454821"/>
    <w:rsid w:val="004632F6"/>
    <w:rsid w:val="00463547"/>
    <w:rsid w:val="00465B27"/>
    <w:rsid w:val="0046799B"/>
    <w:rsid w:val="004712C4"/>
    <w:rsid w:val="00471362"/>
    <w:rsid w:val="0048163A"/>
    <w:rsid w:val="00484B05"/>
    <w:rsid w:val="00486407"/>
    <w:rsid w:val="00490102"/>
    <w:rsid w:val="004905D4"/>
    <w:rsid w:val="004921C3"/>
    <w:rsid w:val="004A0061"/>
    <w:rsid w:val="004A1403"/>
    <w:rsid w:val="004A3916"/>
    <w:rsid w:val="004A42C5"/>
    <w:rsid w:val="004B1AAD"/>
    <w:rsid w:val="004B523E"/>
    <w:rsid w:val="004B6C15"/>
    <w:rsid w:val="004C16EE"/>
    <w:rsid w:val="004C24B0"/>
    <w:rsid w:val="004C310B"/>
    <w:rsid w:val="004D0741"/>
    <w:rsid w:val="004D4973"/>
    <w:rsid w:val="004E064B"/>
    <w:rsid w:val="004E2F09"/>
    <w:rsid w:val="004E30D8"/>
    <w:rsid w:val="004E407D"/>
    <w:rsid w:val="004E41FB"/>
    <w:rsid w:val="004F169D"/>
    <w:rsid w:val="004F4266"/>
    <w:rsid w:val="004F7FF5"/>
    <w:rsid w:val="00501A3B"/>
    <w:rsid w:val="0050290B"/>
    <w:rsid w:val="00504B10"/>
    <w:rsid w:val="0051566F"/>
    <w:rsid w:val="00524DFD"/>
    <w:rsid w:val="00525602"/>
    <w:rsid w:val="0052693F"/>
    <w:rsid w:val="005305B0"/>
    <w:rsid w:val="005349FC"/>
    <w:rsid w:val="00535684"/>
    <w:rsid w:val="005363AC"/>
    <w:rsid w:val="00537824"/>
    <w:rsid w:val="005410A1"/>
    <w:rsid w:val="005502E1"/>
    <w:rsid w:val="0055055E"/>
    <w:rsid w:val="005512A2"/>
    <w:rsid w:val="00553731"/>
    <w:rsid w:val="00557536"/>
    <w:rsid w:val="00557E1F"/>
    <w:rsid w:val="00562DD1"/>
    <w:rsid w:val="00562F5F"/>
    <w:rsid w:val="005645F7"/>
    <w:rsid w:val="0057349D"/>
    <w:rsid w:val="00573E1F"/>
    <w:rsid w:val="00575970"/>
    <w:rsid w:val="00580AB8"/>
    <w:rsid w:val="00581734"/>
    <w:rsid w:val="00584B63"/>
    <w:rsid w:val="005856D6"/>
    <w:rsid w:val="0059139D"/>
    <w:rsid w:val="005929E0"/>
    <w:rsid w:val="00594346"/>
    <w:rsid w:val="00594FE3"/>
    <w:rsid w:val="005952D4"/>
    <w:rsid w:val="00596E3B"/>
    <w:rsid w:val="00597EBC"/>
    <w:rsid w:val="00597ECF"/>
    <w:rsid w:val="005A2367"/>
    <w:rsid w:val="005A298C"/>
    <w:rsid w:val="005A2F14"/>
    <w:rsid w:val="005A5C7D"/>
    <w:rsid w:val="005A675A"/>
    <w:rsid w:val="005B2B2A"/>
    <w:rsid w:val="005B5300"/>
    <w:rsid w:val="005B7F1C"/>
    <w:rsid w:val="005B7F68"/>
    <w:rsid w:val="005C0699"/>
    <w:rsid w:val="005C0F3B"/>
    <w:rsid w:val="005C519F"/>
    <w:rsid w:val="005D0489"/>
    <w:rsid w:val="005D2162"/>
    <w:rsid w:val="005D2BF5"/>
    <w:rsid w:val="005D2DE6"/>
    <w:rsid w:val="005D5F37"/>
    <w:rsid w:val="005D6CC7"/>
    <w:rsid w:val="005D72C8"/>
    <w:rsid w:val="005E4EE5"/>
    <w:rsid w:val="005E66D8"/>
    <w:rsid w:val="005E7D57"/>
    <w:rsid w:val="005F0E2E"/>
    <w:rsid w:val="005F39EB"/>
    <w:rsid w:val="005F4526"/>
    <w:rsid w:val="005F4BD1"/>
    <w:rsid w:val="005F7A0C"/>
    <w:rsid w:val="0060227B"/>
    <w:rsid w:val="00603D2D"/>
    <w:rsid w:val="00604C28"/>
    <w:rsid w:val="00616AB1"/>
    <w:rsid w:val="0062212E"/>
    <w:rsid w:val="006237C1"/>
    <w:rsid w:val="006303B9"/>
    <w:rsid w:val="006306CC"/>
    <w:rsid w:val="006308E3"/>
    <w:rsid w:val="006309B0"/>
    <w:rsid w:val="00631499"/>
    <w:rsid w:val="006326D6"/>
    <w:rsid w:val="00636CD7"/>
    <w:rsid w:val="00641873"/>
    <w:rsid w:val="00641A16"/>
    <w:rsid w:val="00641B29"/>
    <w:rsid w:val="006550DF"/>
    <w:rsid w:val="006559E2"/>
    <w:rsid w:val="00660445"/>
    <w:rsid w:val="0066115B"/>
    <w:rsid w:val="0066264A"/>
    <w:rsid w:val="00662B28"/>
    <w:rsid w:val="00664ACC"/>
    <w:rsid w:val="00664B2A"/>
    <w:rsid w:val="00665F09"/>
    <w:rsid w:val="0067126C"/>
    <w:rsid w:val="00675B46"/>
    <w:rsid w:val="00684D0D"/>
    <w:rsid w:val="00691B14"/>
    <w:rsid w:val="006940BF"/>
    <w:rsid w:val="00694F97"/>
    <w:rsid w:val="006960A3"/>
    <w:rsid w:val="006A177D"/>
    <w:rsid w:val="006A2744"/>
    <w:rsid w:val="006A4F3A"/>
    <w:rsid w:val="006A56D5"/>
    <w:rsid w:val="006B1361"/>
    <w:rsid w:val="006B27CF"/>
    <w:rsid w:val="006B3979"/>
    <w:rsid w:val="006B4DA1"/>
    <w:rsid w:val="006B515B"/>
    <w:rsid w:val="006B542A"/>
    <w:rsid w:val="006C0C9C"/>
    <w:rsid w:val="006C10D0"/>
    <w:rsid w:val="006C1273"/>
    <w:rsid w:val="006C1F62"/>
    <w:rsid w:val="006C2266"/>
    <w:rsid w:val="006C2D02"/>
    <w:rsid w:val="006C6F96"/>
    <w:rsid w:val="006D02E8"/>
    <w:rsid w:val="006D276A"/>
    <w:rsid w:val="006D3B8A"/>
    <w:rsid w:val="006D48FE"/>
    <w:rsid w:val="006D616E"/>
    <w:rsid w:val="006E17C1"/>
    <w:rsid w:val="006E27BF"/>
    <w:rsid w:val="006E3709"/>
    <w:rsid w:val="006E58F4"/>
    <w:rsid w:val="006F2F9B"/>
    <w:rsid w:val="006F30F7"/>
    <w:rsid w:val="006F410B"/>
    <w:rsid w:val="006F4526"/>
    <w:rsid w:val="006F5700"/>
    <w:rsid w:val="006F64E1"/>
    <w:rsid w:val="006F6BA8"/>
    <w:rsid w:val="007019F5"/>
    <w:rsid w:val="00702268"/>
    <w:rsid w:val="0070355B"/>
    <w:rsid w:val="00703A1C"/>
    <w:rsid w:val="00706561"/>
    <w:rsid w:val="00707DCE"/>
    <w:rsid w:val="00710B1A"/>
    <w:rsid w:val="00713AEB"/>
    <w:rsid w:val="00714485"/>
    <w:rsid w:val="00717542"/>
    <w:rsid w:val="00717BA3"/>
    <w:rsid w:val="00721165"/>
    <w:rsid w:val="00726CA2"/>
    <w:rsid w:val="007302E1"/>
    <w:rsid w:val="0073050C"/>
    <w:rsid w:val="0073071F"/>
    <w:rsid w:val="00732CAA"/>
    <w:rsid w:val="00736571"/>
    <w:rsid w:val="0074232F"/>
    <w:rsid w:val="007428CB"/>
    <w:rsid w:val="00743022"/>
    <w:rsid w:val="007478DE"/>
    <w:rsid w:val="0075064A"/>
    <w:rsid w:val="00760827"/>
    <w:rsid w:val="00764B48"/>
    <w:rsid w:val="00765DF1"/>
    <w:rsid w:val="00766638"/>
    <w:rsid w:val="007667C5"/>
    <w:rsid w:val="0076704B"/>
    <w:rsid w:val="00767D38"/>
    <w:rsid w:val="0077020B"/>
    <w:rsid w:val="007706FC"/>
    <w:rsid w:val="007772E9"/>
    <w:rsid w:val="00783613"/>
    <w:rsid w:val="00792435"/>
    <w:rsid w:val="00793A69"/>
    <w:rsid w:val="00793B76"/>
    <w:rsid w:val="00794723"/>
    <w:rsid w:val="00795ACD"/>
    <w:rsid w:val="00797C05"/>
    <w:rsid w:val="007A028F"/>
    <w:rsid w:val="007A04ED"/>
    <w:rsid w:val="007A171C"/>
    <w:rsid w:val="007A3A5D"/>
    <w:rsid w:val="007A44E6"/>
    <w:rsid w:val="007A4E9F"/>
    <w:rsid w:val="007B04DA"/>
    <w:rsid w:val="007B1BFE"/>
    <w:rsid w:val="007B29C6"/>
    <w:rsid w:val="007B2FF7"/>
    <w:rsid w:val="007B4ADD"/>
    <w:rsid w:val="007B4CA2"/>
    <w:rsid w:val="007B56AD"/>
    <w:rsid w:val="007B5C08"/>
    <w:rsid w:val="007B72A6"/>
    <w:rsid w:val="007C0B50"/>
    <w:rsid w:val="007C2F78"/>
    <w:rsid w:val="007C3A73"/>
    <w:rsid w:val="007C45DB"/>
    <w:rsid w:val="007C5D90"/>
    <w:rsid w:val="007D0962"/>
    <w:rsid w:val="007D4D1B"/>
    <w:rsid w:val="007D5DDA"/>
    <w:rsid w:val="007E0983"/>
    <w:rsid w:val="007E0C0E"/>
    <w:rsid w:val="007E5655"/>
    <w:rsid w:val="007E6557"/>
    <w:rsid w:val="007E6F0F"/>
    <w:rsid w:val="007F2D4D"/>
    <w:rsid w:val="007F3E85"/>
    <w:rsid w:val="007F5163"/>
    <w:rsid w:val="007F63B8"/>
    <w:rsid w:val="00800169"/>
    <w:rsid w:val="00802102"/>
    <w:rsid w:val="00802BA6"/>
    <w:rsid w:val="00810169"/>
    <w:rsid w:val="00814E53"/>
    <w:rsid w:val="00817C5B"/>
    <w:rsid w:val="008202E4"/>
    <w:rsid w:val="0082098D"/>
    <w:rsid w:val="00820FE2"/>
    <w:rsid w:val="00821132"/>
    <w:rsid w:val="0082159A"/>
    <w:rsid w:val="00826EA2"/>
    <w:rsid w:val="008301ED"/>
    <w:rsid w:val="00833A8E"/>
    <w:rsid w:val="00840011"/>
    <w:rsid w:val="00841437"/>
    <w:rsid w:val="00841DE0"/>
    <w:rsid w:val="008425F2"/>
    <w:rsid w:val="00842982"/>
    <w:rsid w:val="00842CA9"/>
    <w:rsid w:val="008441DD"/>
    <w:rsid w:val="00845323"/>
    <w:rsid w:val="00851AE3"/>
    <w:rsid w:val="008532E8"/>
    <w:rsid w:val="00854594"/>
    <w:rsid w:val="00854C59"/>
    <w:rsid w:val="008558A0"/>
    <w:rsid w:val="00855AF0"/>
    <w:rsid w:val="008608F6"/>
    <w:rsid w:val="008624A0"/>
    <w:rsid w:val="00864559"/>
    <w:rsid w:val="0087033B"/>
    <w:rsid w:val="0087100C"/>
    <w:rsid w:val="008741EF"/>
    <w:rsid w:val="008762B2"/>
    <w:rsid w:val="008802B2"/>
    <w:rsid w:val="00880CEA"/>
    <w:rsid w:val="0088189A"/>
    <w:rsid w:val="00883655"/>
    <w:rsid w:val="00890ADB"/>
    <w:rsid w:val="00891953"/>
    <w:rsid w:val="00896776"/>
    <w:rsid w:val="008A6216"/>
    <w:rsid w:val="008A7905"/>
    <w:rsid w:val="008B33B4"/>
    <w:rsid w:val="008B7BE3"/>
    <w:rsid w:val="008C7B23"/>
    <w:rsid w:val="008D0444"/>
    <w:rsid w:val="008D0771"/>
    <w:rsid w:val="008D1D98"/>
    <w:rsid w:val="008D2802"/>
    <w:rsid w:val="008D6C46"/>
    <w:rsid w:val="008E025D"/>
    <w:rsid w:val="008E11D2"/>
    <w:rsid w:val="008E19B9"/>
    <w:rsid w:val="008E4AEC"/>
    <w:rsid w:val="008E7F01"/>
    <w:rsid w:val="008F0B6A"/>
    <w:rsid w:val="008F0B7E"/>
    <w:rsid w:val="008F62C5"/>
    <w:rsid w:val="008F6484"/>
    <w:rsid w:val="0090182F"/>
    <w:rsid w:val="00907DCD"/>
    <w:rsid w:val="00911CF4"/>
    <w:rsid w:val="00912F3F"/>
    <w:rsid w:val="00913E02"/>
    <w:rsid w:val="00920610"/>
    <w:rsid w:val="00921C3E"/>
    <w:rsid w:val="00947797"/>
    <w:rsid w:val="009501B2"/>
    <w:rsid w:val="0095090F"/>
    <w:rsid w:val="00957D26"/>
    <w:rsid w:val="00962042"/>
    <w:rsid w:val="00962853"/>
    <w:rsid w:val="00963718"/>
    <w:rsid w:val="00963A37"/>
    <w:rsid w:val="00963D03"/>
    <w:rsid w:val="009641D6"/>
    <w:rsid w:val="00964C96"/>
    <w:rsid w:val="009653B7"/>
    <w:rsid w:val="0096693C"/>
    <w:rsid w:val="00966BC2"/>
    <w:rsid w:val="00970921"/>
    <w:rsid w:val="00973BF5"/>
    <w:rsid w:val="009765EE"/>
    <w:rsid w:val="00980E48"/>
    <w:rsid w:val="0098309A"/>
    <w:rsid w:val="00984313"/>
    <w:rsid w:val="009863EC"/>
    <w:rsid w:val="009875D3"/>
    <w:rsid w:val="00995206"/>
    <w:rsid w:val="009A0129"/>
    <w:rsid w:val="009A2397"/>
    <w:rsid w:val="009A355C"/>
    <w:rsid w:val="009A594C"/>
    <w:rsid w:val="009A6751"/>
    <w:rsid w:val="009A6B9E"/>
    <w:rsid w:val="009A7B86"/>
    <w:rsid w:val="009B3BF9"/>
    <w:rsid w:val="009B3C85"/>
    <w:rsid w:val="009B5845"/>
    <w:rsid w:val="009B6CEC"/>
    <w:rsid w:val="009C6E2D"/>
    <w:rsid w:val="009D0268"/>
    <w:rsid w:val="009D04FD"/>
    <w:rsid w:val="009D3E3B"/>
    <w:rsid w:val="009D4699"/>
    <w:rsid w:val="009D4F5E"/>
    <w:rsid w:val="009D7CBB"/>
    <w:rsid w:val="009E0127"/>
    <w:rsid w:val="009E3BA0"/>
    <w:rsid w:val="009E6B32"/>
    <w:rsid w:val="009E74D2"/>
    <w:rsid w:val="009F1DDC"/>
    <w:rsid w:val="009F1EE9"/>
    <w:rsid w:val="009F4F26"/>
    <w:rsid w:val="009F5F20"/>
    <w:rsid w:val="009F63E8"/>
    <w:rsid w:val="00A12348"/>
    <w:rsid w:val="00A13E30"/>
    <w:rsid w:val="00A14262"/>
    <w:rsid w:val="00A142C2"/>
    <w:rsid w:val="00A15D07"/>
    <w:rsid w:val="00A16751"/>
    <w:rsid w:val="00A16C25"/>
    <w:rsid w:val="00A1779F"/>
    <w:rsid w:val="00A21D88"/>
    <w:rsid w:val="00A23676"/>
    <w:rsid w:val="00A35854"/>
    <w:rsid w:val="00A37F05"/>
    <w:rsid w:val="00A37F70"/>
    <w:rsid w:val="00A410CF"/>
    <w:rsid w:val="00A4131A"/>
    <w:rsid w:val="00A4143D"/>
    <w:rsid w:val="00A45487"/>
    <w:rsid w:val="00A531E9"/>
    <w:rsid w:val="00A53A61"/>
    <w:rsid w:val="00A5632A"/>
    <w:rsid w:val="00A62F11"/>
    <w:rsid w:val="00A63FB6"/>
    <w:rsid w:val="00A648C2"/>
    <w:rsid w:val="00A67297"/>
    <w:rsid w:val="00A67E97"/>
    <w:rsid w:val="00A73166"/>
    <w:rsid w:val="00A73DF4"/>
    <w:rsid w:val="00A760EE"/>
    <w:rsid w:val="00A82660"/>
    <w:rsid w:val="00A861BE"/>
    <w:rsid w:val="00A86786"/>
    <w:rsid w:val="00A96B97"/>
    <w:rsid w:val="00AA5317"/>
    <w:rsid w:val="00AA73F2"/>
    <w:rsid w:val="00AB26DE"/>
    <w:rsid w:val="00AB38A6"/>
    <w:rsid w:val="00AC53B9"/>
    <w:rsid w:val="00AC6813"/>
    <w:rsid w:val="00AD2F28"/>
    <w:rsid w:val="00AD5A9B"/>
    <w:rsid w:val="00AD60AA"/>
    <w:rsid w:val="00AD684A"/>
    <w:rsid w:val="00AD6A80"/>
    <w:rsid w:val="00AE078A"/>
    <w:rsid w:val="00AE0D8C"/>
    <w:rsid w:val="00AE0DE0"/>
    <w:rsid w:val="00AE0F3D"/>
    <w:rsid w:val="00AE3BE7"/>
    <w:rsid w:val="00AE43F4"/>
    <w:rsid w:val="00AE691C"/>
    <w:rsid w:val="00AE7CF2"/>
    <w:rsid w:val="00AF0FCA"/>
    <w:rsid w:val="00AF43EC"/>
    <w:rsid w:val="00AF7AED"/>
    <w:rsid w:val="00B008AA"/>
    <w:rsid w:val="00B01596"/>
    <w:rsid w:val="00B0538F"/>
    <w:rsid w:val="00B07246"/>
    <w:rsid w:val="00B07C9B"/>
    <w:rsid w:val="00B07DAC"/>
    <w:rsid w:val="00B11FB5"/>
    <w:rsid w:val="00B13110"/>
    <w:rsid w:val="00B15C4A"/>
    <w:rsid w:val="00B218BC"/>
    <w:rsid w:val="00B23AEB"/>
    <w:rsid w:val="00B24A4C"/>
    <w:rsid w:val="00B26E59"/>
    <w:rsid w:val="00B32E69"/>
    <w:rsid w:val="00B33A5B"/>
    <w:rsid w:val="00B34712"/>
    <w:rsid w:val="00B37697"/>
    <w:rsid w:val="00B37DBD"/>
    <w:rsid w:val="00B407F0"/>
    <w:rsid w:val="00B43490"/>
    <w:rsid w:val="00B44A20"/>
    <w:rsid w:val="00B45651"/>
    <w:rsid w:val="00B50065"/>
    <w:rsid w:val="00B505AE"/>
    <w:rsid w:val="00B530B0"/>
    <w:rsid w:val="00B548B1"/>
    <w:rsid w:val="00B56311"/>
    <w:rsid w:val="00B60FC6"/>
    <w:rsid w:val="00B629C3"/>
    <w:rsid w:val="00B642D3"/>
    <w:rsid w:val="00B6696B"/>
    <w:rsid w:val="00B721FB"/>
    <w:rsid w:val="00B73E16"/>
    <w:rsid w:val="00B74547"/>
    <w:rsid w:val="00B75463"/>
    <w:rsid w:val="00B7598B"/>
    <w:rsid w:val="00B75C92"/>
    <w:rsid w:val="00B80766"/>
    <w:rsid w:val="00B81A57"/>
    <w:rsid w:val="00B82890"/>
    <w:rsid w:val="00B84369"/>
    <w:rsid w:val="00B93E50"/>
    <w:rsid w:val="00B95965"/>
    <w:rsid w:val="00B95CC3"/>
    <w:rsid w:val="00B9776A"/>
    <w:rsid w:val="00BA0074"/>
    <w:rsid w:val="00BA7A8B"/>
    <w:rsid w:val="00BB0114"/>
    <w:rsid w:val="00BC17C0"/>
    <w:rsid w:val="00BC50A5"/>
    <w:rsid w:val="00BD45FF"/>
    <w:rsid w:val="00BD6823"/>
    <w:rsid w:val="00BD7BDE"/>
    <w:rsid w:val="00BF266F"/>
    <w:rsid w:val="00BF574D"/>
    <w:rsid w:val="00BF6C7D"/>
    <w:rsid w:val="00BF6FB0"/>
    <w:rsid w:val="00C04571"/>
    <w:rsid w:val="00C13E79"/>
    <w:rsid w:val="00C14B6E"/>
    <w:rsid w:val="00C14E92"/>
    <w:rsid w:val="00C16AE8"/>
    <w:rsid w:val="00C2379E"/>
    <w:rsid w:val="00C25CBF"/>
    <w:rsid w:val="00C26E52"/>
    <w:rsid w:val="00C3263B"/>
    <w:rsid w:val="00C33D21"/>
    <w:rsid w:val="00C35EE7"/>
    <w:rsid w:val="00C403B9"/>
    <w:rsid w:val="00C44583"/>
    <w:rsid w:val="00C45CC1"/>
    <w:rsid w:val="00C47420"/>
    <w:rsid w:val="00C5542F"/>
    <w:rsid w:val="00C652FA"/>
    <w:rsid w:val="00C6577E"/>
    <w:rsid w:val="00C72BD0"/>
    <w:rsid w:val="00C734DB"/>
    <w:rsid w:val="00C738ED"/>
    <w:rsid w:val="00C74C67"/>
    <w:rsid w:val="00C75C4E"/>
    <w:rsid w:val="00C7618B"/>
    <w:rsid w:val="00C76F6F"/>
    <w:rsid w:val="00C771E4"/>
    <w:rsid w:val="00C83EF6"/>
    <w:rsid w:val="00C8480A"/>
    <w:rsid w:val="00C864F1"/>
    <w:rsid w:val="00C871FF"/>
    <w:rsid w:val="00C90FB1"/>
    <w:rsid w:val="00C94234"/>
    <w:rsid w:val="00C9435A"/>
    <w:rsid w:val="00C9522C"/>
    <w:rsid w:val="00C95CF9"/>
    <w:rsid w:val="00C96D88"/>
    <w:rsid w:val="00CA04A9"/>
    <w:rsid w:val="00CA5ED8"/>
    <w:rsid w:val="00CB1D7B"/>
    <w:rsid w:val="00CB2740"/>
    <w:rsid w:val="00CB4BD9"/>
    <w:rsid w:val="00CB4C28"/>
    <w:rsid w:val="00CB4DB1"/>
    <w:rsid w:val="00CC4108"/>
    <w:rsid w:val="00CC79F7"/>
    <w:rsid w:val="00CD0C76"/>
    <w:rsid w:val="00CD5261"/>
    <w:rsid w:val="00CD6982"/>
    <w:rsid w:val="00CD7033"/>
    <w:rsid w:val="00CD7A62"/>
    <w:rsid w:val="00CE2B01"/>
    <w:rsid w:val="00CE511C"/>
    <w:rsid w:val="00CE5741"/>
    <w:rsid w:val="00CE5EF1"/>
    <w:rsid w:val="00CE6B34"/>
    <w:rsid w:val="00CF6CEE"/>
    <w:rsid w:val="00CF7084"/>
    <w:rsid w:val="00D01215"/>
    <w:rsid w:val="00D02FF6"/>
    <w:rsid w:val="00D0493C"/>
    <w:rsid w:val="00D0542F"/>
    <w:rsid w:val="00D06521"/>
    <w:rsid w:val="00D075F5"/>
    <w:rsid w:val="00D10FED"/>
    <w:rsid w:val="00D1169A"/>
    <w:rsid w:val="00D127BE"/>
    <w:rsid w:val="00D15CB7"/>
    <w:rsid w:val="00D16BEC"/>
    <w:rsid w:val="00D2006B"/>
    <w:rsid w:val="00D204F7"/>
    <w:rsid w:val="00D25005"/>
    <w:rsid w:val="00D3099A"/>
    <w:rsid w:val="00D34AA3"/>
    <w:rsid w:val="00D368DB"/>
    <w:rsid w:val="00D369ED"/>
    <w:rsid w:val="00D37FF1"/>
    <w:rsid w:val="00D41D0E"/>
    <w:rsid w:val="00D41E1F"/>
    <w:rsid w:val="00D42114"/>
    <w:rsid w:val="00D453A6"/>
    <w:rsid w:val="00D47733"/>
    <w:rsid w:val="00D52E62"/>
    <w:rsid w:val="00D53BF3"/>
    <w:rsid w:val="00D54F5F"/>
    <w:rsid w:val="00D60950"/>
    <w:rsid w:val="00D61CDA"/>
    <w:rsid w:val="00D62634"/>
    <w:rsid w:val="00D66741"/>
    <w:rsid w:val="00D71DAB"/>
    <w:rsid w:val="00D72BD9"/>
    <w:rsid w:val="00D764ED"/>
    <w:rsid w:val="00D77A5A"/>
    <w:rsid w:val="00D8392A"/>
    <w:rsid w:val="00D8443D"/>
    <w:rsid w:val="00D92FC3"/>
    <w:rsid w:val="00D94C9E"/>
    <w:rsid w:val="00D96C5C"/>
    <w:rsid w:val="00D971FF"/>
    <w:rsid w:val="00DA7B32"/>
    <w:rsid w:val="00DB09CA"/>
    <w:rsid w:val="00DB1519"/>
    <w:rsid w:val="00DB5246"/>
    <w:rsid w:val="00DD031D"/>
    <w:rsid w:val="00DD1031"/>
    <w:rsid w:val="00DD25A9"/>
    <w:rsid w:val="00DD3A2D"/>
    <w:rsid w:val="00DD4510"/>
    <w:rsid w:val="00DD499E"/>
    <w:rsid w:val="00DD69BF"/>
    <w:rsid w:val="00DE19CF"/>
    <w:rsid w:val="00DE5C98"/>
    <w:rsid w:val="00DE7511"/>
    <w:rsid w:val="00DE75D7"/>
    <w:rsid w:val="00DF709C"/>
    <w:rsid w:val="00E06121"/>
    <w:rsid w:val="00E06772"/>
    <w:rsid w:val="00E06D2F"/>
    <w:rsid w:val="00E156D0"/>
    <w:rsid w:val="00E16EF8"/>
    <w:rsid w:val="00E24176"/>
    <w:rsid w:val="00E324AB"/>
    <w:rsid w:val="00E332C4"/>
    <w:rsid w:val="00E34B7B"/>
    <w:rsid w:val="00E34FB5"/>
    <w:rsid w:val="00E35B5C"/>
    <w:rsid w:val="00E40389"/>
    <w:rsid w:val="00E40773"/>
    <w:rsid w:val="00E42C38"/>
    <w:rsid w:val="00E44CD0"/>
    <w:rsid w:val="00E50EDF"/>
    <w:rsid w:val="00E511CD"/>
    <w:rsid w:val="00E5308E"/>
    <w:rsid w:val="00E56BE6"/>
    <w:rsid w:val="00E60D7C"/>
    <w:rsid w:val="00E763E8"/>
    <w:rsid w:val="00E77B37"/>
    <w:rsid w:val="00E809CD"/>
    <w:rsid w:val="00E8104C"/>
    <w:rsid w:val="00E81651"/>
    <w:rsid w:val="00E90748"/>
    <w:rsid w:val="00E90DE1"/>
    <w:rsid w:val="00E94ECC"/>
    <w:rsid w:val="00E95A5F"/>
    <w:rsid w:val="00E965A7"/>
    <w:rsid w:val="00E97E6B"/>
    <w:rsid w:val="00EA028E"/>
    <w:rsid w:val="00EA16D2"/>
    <w:rsid w:val="00EA243D"/>
    <w:rsid w:val="00EB0930"/>
    <w:rsid w:val="00EB0C8F"/>
    <w:rsid w:val="00EB1072"/>
    <w:rsid w:val="00EB168D"/>
    <w:rsid w:val="00EB26BB"/>
    <w:rsid w:val="00EB30C1"/>
    <w:rsid w:val="00EB3E28"/>
    <w:rsid w:val="00EB61DE"/>
    <w:rsid w:val="00EB7277"/>
    <w:rsid w:val="00EC486E"/>
    <w:rsid w:val="00EC6C20"/>
    <w:rsid w:val="00ED040E"/>
    <w:rsid w:val="00ED52BA"/>
    <w:rsid w:val="00ED73AC"/>
    <w:rsid w:val="00ED7589"/>
    <w:rsid w:val="00EE05C1"/>
    <w:rsid w:val="00EE32C9"/>
    <w:rsid w:val="00EE5DA3"/>
    <w:rsid w:val="00EE6EA1"/>
    <w:rsid w:val="00EE7EE3"/>
    <w:rsid w:val="00EF0F62"/>
    <w:rsid w:val="00EF5C27"/>
    <w:rsid w:val="00EF69A4"/>
    <w:rsid w:val="00F02830"/>
    <w:rsid w:val="00F03822"/>
    <w:rsid w:val="00F04EA4"/>
    <w:rsid w:val="00F0551D"/>
    <w:rsid w:val="00F06568"/>
    <w:rsid w:val="00F129AB"/>
    <w:rsid w:val="00F14AFD"/>
    <w:rsid w:val="00F1635B"/>
    <w:rsid w:val="00F16698"/>
    <w:rsid w:val="00F17113"/>
    <w:rsid w:val="00F175CF"/>
    <w:rsid w:val="00F176D7"/>
    <w:rsid w:val="00F2596E"/>
    <w:rsid w:val="00F27716"/>
    <w:rsid w:val="00F27DEC"/>
    <w:rsid w:val="00F31290"/>
    <w:rsid w:val="00F36C2F"/>
    <w:rsid w:val="00F36EB9"/>
    <w:rsid w:val="00F41BB7"/>
    <w:rsid w:val="00F43952"/>
    <w:rsid w:val="00F455E2"/>
    <w:rsid w:val="00F510D9"/>
    <w:rsid w:val="00F5156B"/>
    <w:rsid w:val="00F515B0"/>
    <w:rsid w:val="00F56023"/>
    <w:rsid w:val="00F60786"/>
    <w:rsid w:val="00F644B4"/>
    <w:rsid w:val="00F71380"/>
    <w:rsid w:val="00F71A12"/>
    <w:rsid w:val="00F73E48"/>
    <w:rsid w:val="00F751F0"/>
    <w:rsid w:val="00F76BF7"/>
    <w:rsid w:val="00F7788A"/>
    <w:rsid w:val="00F8633B"/>
    <w:rsid w:val="00F873E5"/>
    <w:rsid w:val="00F916C1"/>
    <w:rsid w:val="00F92272"/>
    <w:rsid w:val="00FA3C79"/>
    <w:rsid w:val="00FA50E5"/>
    <w:rsid w:val="00FA5646"/>
    <w:rsid w:val="00FA7AA4"/>
    <w:rsid w:val="00FB0451"/>
    <w:rsid w:val="00FB0639"/>
    <w:rsid w:val="00FB3DA7"/>
    <w:rsid w:val="00FB5E9F"/>
    <w:rsid w:val="00FB6703"/>
    <w:rsid w:val="00FC0325"/>
    <w:rsid w:val="00FC094E"/>
    <w:rsid w:val="00FC0EAB"/>
    <w:rsid w:val="00FC1D78"/>
    <w:rsid w:val="00FC3B25"/>
    <w:rsid w:val="00FC5A26"/>
    <w:rsid w:val="00FC626F"/>
    <w:rsid w:val="00FD0561"/>
    <w:rsid w:val="00FD1092"/>
    <w:rsid w:val="00FD4D5E"/>
    <w:rsid w:val="00FD5E44"/>
    <w:rsid w:val="00FD738C"/>
    <w:rsid w:val="00FE1BE8"/>
    <w:rsid w:val="00FE3B0F"/>
    <w:rsid w:val="00FE3E5E"/>
    <w:rsid w:val="00FE58EC"/>
    <w:rsid w:val="00FF658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Textkrper"/>
    <w:link w:val="berschrift1Zchn"/>
    <w:uiPriority w:val="9"/>
    <w:qFormat/>
    <w:rsid w:val="008F62C5"/>
    <w:pPr>
      <w:keepNext/>
      <w:numPr>
        <w:numId w:val="4"/>
      </w:numPr>
      <w:suppressAutoHyphens/>
      <w:spacing w:before="281" w:after="176" w:line="386" w:lineRule="exact"/>
      <w:outlineLvl w:val="0"/>
    </w:pPr>
    <w:rPr>
      <w:rFonts w:eastAsiaTheme="majorEastAsia" w:cstheme="majorBidi"/>
      <w:b/>
      <w:bCs/>
      <w:color w:val="000000" w:themeColor="text1"/>
      <w:szCs w:val="28"/>
      <w:lang w:eastAsia="de-DE"/>
    </w:rPr>
  </w:style>
  <w:style w:type="paragraph" w:styleId="berschrift2">
    <w:name w:val="heading 2"/>
    <w:basedOn w:val="Standard"/>
    <w:next w:val="Textkrper"/>
    <w:link w:val="berschrift2Zchn"/>
    <w:uiPriority w:val="9"/>
    <w:qFormat/>
    <w:rsid w:val="008F62C5"/>
    <w:pPr>
      <w:keepNext/>
      <w:keepLines/>
      <w:numPr>
        <w:ilvl w:val="1"/>
        <w:numId w:val="4"/>
      </w:numPr>
      <w:suppressAutoHyphens/>
      <w:spacing w:before="232" w:after="176" w:line="386" w:lineRule="exact"/>
      <w:outlineLvl w:val="1"/>
    </w:pPr>
    <w:rPr>
      <w:rFonts w:eastAsiaTheme="majorEastAsia" w:cstheme="majorBidi"/>
      <w:b/>
      <w:bCs/>
      <w:color w:val="000000" w:themeColor="text1"/>
      <w:szCs w:val="26"/>
      <w:lang w:eastAsia="de-DE"/>
    </w:rPr>
  </w:style>
  <w:style w:type="paragraph" w:styleId="berschrift3">
    <w:name w:val="heading 3"/>
    <w:basedOn w:val="Standard"/>
    <w:next w:val="Textkrper"/>
    <w:link w:val="berschrift3Zchn"/>
    <w:uiPriority w:val="9"/>
    <w:qFormat/>
    <w:rsid w:val="008F62C5"/>
    <w:pPr>
      <w:keepNext/>
      <w:keepLines/>
      <w:numPr>
        <w:ilvl w:val="2"/>
        <w:numId w:val="4"/>
      </w:numPr>
      <w:suppressAutoHyphens/>
      <w:spacing w:before="176" w:after="176" w:line="386" w:lineRule="exact"/>
      <w:outlineLvl w:val="2"/>
    </w:pPr>
    <w:rPr>
      <w:rFonts w:eastAsiaTheme="majorEastAsia" w:cstheme="majorBidi"/>
      <w:b/>
      <w:bCs/>
      <w:color w:val="000000" w:themeColor="text1"/>
      <w:szCs w:val="20"/>
      <w:lang w:eastAsia="de-DE"/>
    </w:rPr>
  </w:style>
  <w:style w:type="paragraph" w:styleId="berschrift4">
    <w:name w:val="heading 4"/>
    <w:basedOn w:val="Standard"/>
    <w:next w:val="Textkrper"/>
    <w:link w:val="berschrift4Zchn"/>
    <w:uiPriority w:val="9"/>
    <w:qFormat/>
    <w:rsid w:val="008F62C5"/>
    <w:pPr>
      <w:keepNext/>
      <w:keepLines/>
      <w:numPr>
        <w:ilvl w:val="3"/>
        <w:numId w:val="4"/>
      </w:numPr>
      <w:suppressAutoHyphens/>
      <w:spacing w:before="176" w:after="176" w:line="386" w:lineRule="exact"/>
      <w:outlineLvl w:val="3"/>
    </w:pPr>
    <w:rPr>
      <w:rFonts w:eastAsiaTheme="majorEastAsia" w:cstheme="majorBidi"/>
      <w:b/>
      <w:bCs/>
      <w:iCs/>
      <w:color w:val="000000" w:themeColor="text1"/>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8F62C5"/>
    <w:rPr>
      <w:rFonts w:ascii="Arial" w:eastAsiaTheme="majorEastAsia" w:hAnsi="Arial" w:cstheme="majorBidi"/>
      <w:b/>
      <w:bCs/>
      <w:color w:val="000000" w:themeColor="text1"/>
      <w:szCs w:val="28"/>
      <w:lang w:eastAsia="de-DE"/>
    </w:rPr>
  </w:style>
  <w:style w:type="character" w:customStyle="1" w:styleId="berschrift2Zchn">
    <w:name w:val="Überschrift 2 Zchn"/>
    <w:basedOn w:val="Absatz-Standardschriftart"/>
    <w:link w:val="berschrift2"/>
    <w:uiPriority w:val="9"/>
    <w:rsid w:val="008F62C5"/>
    <w:rPr>
      <w:rFonts w:ascii="Arial" w:eastAsiaTheme="majorEastAsia" w:hAnsi="Arial" w:cstheme="majorBidi"/>
      <w:b/>
      <w:bCs/>
      <w:color w:val="000000" w:themeColor="text1"/>
      <w:szCs w:val="26"/>
      <w:lang w:eastAsia="de-DE"/>
    </w:rPr>
  </w:style>
  <w:style w:type="character" w:customStyle="1" w:styleId="berschrift3Zchn">
    <w:name w:val="Überschrift 3 Zchn"/>
    <w:basedOn w:val="Absatz-Standardschriftart"/>
    <w:link w:val="berschrift3"/>
    <w:uiPriority w:val="9"/>
    <w:rsid w:val="008F62C5"/>
    <w:rPr>
      <w:rFonts w:ascii="Arial" w:eastAsiaTheme="majorEastAsia" w:hAnsi="Arial" w:cstheme="majorBidi"/>
      <w:b/>
      <w:bCs/>
      <w:color w:val="000000" w:themeColor="text1"/>
      <w:szCs w:val="20"/>
      <w:lang w:eastAsia="de-DE"/>
    </w:rPr>
  </w:style>
  <w:style w:type="character" w:customStyle="1" w:styleId="berschrift4Zchn">
    <w:name w:val="Überschrift 4 Zchn"/>
    <w:basedOn w:val="Absatz-Standardschriftart"/>
    <w:link w:val="berschrift4"/>
    <w:uiPriority w:val="9"/>
    <w:rsid w:val="008F62C5"/>
    <w:rPr>
      <w:rFonts w:ascii="Arial" w:eastAsiaTheme="majorEastAsia" w:hAnsi="Arial" w:cstheme="majorBidi"/>
      <w:b/>
      <w:bCs/>
      <w:iCs/>
      <w:color w:val="000000" w:themeColor="text1"/>
      <w:sz w:val="21"/>
      <w:szCs w:val="20"/>
      <w:lang w:eastAsia="de-DE"/>
    </w:rPr>
  </w:style>
  <w:style w:type="paragraph" w:customStyle="1" w:styleId="AufzhlungAnfang">
    <w:name w:val="Aufzählung Anfang"/>
    <w:basedOn w:val="Standard"/>
    <w:next w:val="Standard"/>
    <w:qFormat/>
    <w:rsid w:val="008F62C5"/>
    <w:pPr>
      <w:numPr>
        <w:numId w:val="3"/>
      </w:numPr>
      <w:spacing w:before="318" w:after="91" w:line="295" w:lineRule="exact"/>
      <w:jc w:val="both"/>
    </w:pPr>
    <w:rPr>
      <w:rFonts w:eastAsia="Times New Roman" w:cs="Times New Roman"/>
      <w:color w:val="000000" w:themeColor="text1"/>
      <w:szCs w:val="20"/>
      <w:lang w:eastAsia="de-DE"/>
    </w:rPr>
  </w:style>
  <w:style w:type="numbering" w:customStyle="1" w:styleId="LS-berschriftengliederung">
    <w:name w:val="LS-Überschriftengliederung"/>
    <w:basedOn w:val="KeineListe"/>
    <w:uiPriority w:val="99"/>
    <w:rsid w:val="008F62C5"/>
    <w:pPr>
      <w:numPr>
        <w:numId w:val="4"/>
      </w:numPr>
    </w:pPr>
  </w:style>
  <w:style w:type="paragraph" w:styleId="Funotentext">
    <w:name w:val="footnote text"/>
    <w:basedOn w:val="Standard"/>
    <w:link w:val="FunotentextZchn"/>
    <w:uiPriority w:val="99"/>
    <w:rsid w:val="008F62C5"/>
    <w:pPr>
      <w:spacing w:before="120" w:after="0" w:line="220" w:lineRule="exact"/>
      <w:ind w:left="113" w:hanging="113"/>
    </w:pPr>
    <w:rPr>
      <w:rFonts w:eastAsia="Times New Roman" w:cs="Times New Roman"/>
      <w:color w:val="000000" w:themeColor="text1"/>
      <w:sz w:val="18"/>
      <w:szCs w:val="20"/>
      <w:lang w:eastAsia="de-DE"/>
    </w:rPr>
  </w:style>
  <w:style w:type="character" w:customStyle="1" w:styleId="FunotentextZchn">
    <w:name w:val="Fußnotentext Zchn"/>
    <w:basedOn w:val="Absatz-Standardschriftart"/>
    <w:link w:val="Funotentext"/>
    <w:uiPriority w:val="99"/>
    <w:rsid w:val="008F62C5"/>
    <w:rPr>
      <w:rFonts w:ascii="Arial" w:eastAsia="Times New Roman" w:hAnsi="Arial" w:cs="Times New Roman"/>
      <w:color w:val="000000" w:themeColor="text1"/>
      <w:sz w:val="18"/>
      <w:szCs w:val="20"/>
      <w:lang w:eastAsia="de-DE"/>
    </w:rPr>
  </w:style>
  <w:style w:type="paragraph" w:styleId="Listenabsatz">
    <w:name w:val="List Paragraph"/>
    <w:basedOn w:val="Standard"/>
    <w:uiPriority w:val="34"/>
    <w:qFormat/>
    <w:rsid w:val="007B04DA"/>
    <w:pPr>
      <w:ind w:left="720"/>
      <w:contextualSpacing/>
    </w:pPr>
  </w:style>
  <w:style w:type="character" w:styleId="Hyperlink">
    <w:name w:val="Hyperlink"/>
    <w:basedOn w:val="Absatz-Standardschriftart"/>
    <w:uiPriority w:val="99"/>
    <w:unhideWhenUsed/>
    <w:rsid w:val="007B04DA"/>
    <w:rPr>
      <w:color w:val="0563C1" w:themeColor="hyperlink"/>
      <w:u w:val="single"/>
    </w:rPr>
  </w:style>
  <w:style w:type="character" w:customStyle="1" w:styleId="NichtaufgelsteErwhnung1">
    <w:name w:val="Nicht aufgelöste Erwähnung1"/>
    <w:basedOn w:val="Absatz-Standardschriftart"/>
    <w:uiPriority w:val="99"/>
    <w:semiHidden/>
    <w:unhideWhenUsed/>
    <w:rsid w:val="007B04DA"/>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A73F2"/>
    <w:rPr>
      <w:color w:val="605E5C"/>
      <w:shd w:val="clear" w:color="auto" w:fill="E1DFDD"/>
    </w:rPr>
  </w:style>
  <w:style w:type="paragraph" w:styleId="KeinLeerraum">
    <w:name w:val="No Spacing"/>
    <w:uiPriority w:val="1"/>
    <w:qFormat/>
    <w:rsid w:val="00C734DB"/>
    <w:pPr>
      <w:spacing w:after="0" w:line="240" w:lineRule="auto"/>
    </w:pPr>
    <w:rPr>
      <w:rFonts w:ascii="Arial" w:hAnsi="Arial"/>
      <w:sz w:val="24"/>
    </w:rPr>
  </w:style>
  <w:style w:type="paragraph" w:customStyle="1" w:styleId="TebelleRechts">
    <w:name w:val="Tebelle Rechts"/>
    <w:basedOn w:val="Standard"/>
    <w:rsid w:val="00E50EDF"/>
    <w:pPr>
      <w:spacing w:after="0" w:line="240" w:lineRule="exact"/>
      <w:jc w:val="right"/>
    </w:pPr>
    <w:rPr>
      <w:rFonts w:eastAsia="Times New Roman" w:cs="Times New Roman"/>
      <w:color w:val="000000"/>
      <w:szCs w:val="20"/>
      <w:lang w:eastAsia="de-DE"/>
    </w:rPr>
  </w:style>
  <w:style w:type="character" w:customStyle="1" w:styleId="NichtaufgelsteErwhnung3">
    <w:name w:val="Nicht aufgelöste Erwähnung3"/>
    <w:basedOn w:val="Absatz-Standardschriftart"/>
    <w:uiPriority w:val="99"/>
    <w:semiHidden/>
    <w:unhideWhenUsed/>
    <w:rsid w:val="005929E0"/>
    <w:rPr>
      <w:color w:val="605E5C"/>
      <w:shd w:val="clear" w:color="auto" w:fill="E1DFDD"/>
    </w:rPr>
  </w:style>
  <w:style w:type="character" w:styleId="Kommentarzeichen">
    <w:name w:val="annotation reference"/>
    <w:basedOn w:val="Absatz-Standardschriftart"/>
    <w:uiPriority w:val="99"/>
    <w:semiHidden/>
    <w:unhideWhenUsed/>
    <w:rsid w:val="008A7905"/>
    <w:rPr>
      <w:sz w:val="16"/>
      <w:szCs w:val="16"/>
    </w:rPr>
  </w:style>
  <w:style w:type="paragraph" w:styleId="Kommentartext">
    <w:name w:val="annotation text"/>
    <w:basedOn w:val="Standard"/>
    <w:link w:val="KommentartextZchn"/>
    <w:uiPriority w:val="99"/>
    <w:semiHidden/>
    <w:unhideWhenUsed/>
    <w:rsid w:val="008A79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790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A7905"/>
    <w:rPr>
      <w:b/>
      <w:bCs/>
    </w:rPr>
  </w:style>
  <w:style w:type="character" w:customStyle="1" w:styleId="KommentarthemaZchn">
    <w:name w:val="Kommentarthema Zchn"/>
    <w:basedOn w:val="KommentartextZchn"/>
    <w:link w:val="Kommentarthema"/>
    <w:uiPriority w:val="99"/>
    <w:semiHidden/>
    <w:rsid w:val="008A7905"/>
    <w:rPr>
      <w:rFonts w:ascii="Arial" w:hAnsi="Arial"/>
      <w:b/>
      <w:bCs/>
      <w:sz w:val="20"/>
      <w:szCs w:val="20"/>
    </w:rPr>
  </w:style>
  <w:style w:type="character" w:styleId="BesuchterLink">
    <w:name w:val="FollowedHyperlink"/>
    <w:basedOn w:val="Absatz-Standardschriftart"/>
    <w:uiPriority w:val="99"/>
    <w:semiHidden/>
    <w:unhideWhenUsed/>
    <w:rsid w:val="00196734"/>
    <w:rPr>
      <w:color w:val="954F72" w:themeColor="followedHyperlink"/>
      <w:u w:val="single"/>
    </w:rPr>
  </w:style>
  <w:style w:type="character" w:customStyle="1" w:styleId="UnresolvedMention">
    <w:name w:val="Unresolved Mention"/>
    <w:basedOn w:val="Absatz-Standardschriftart"/>
    <w:uiPriority w:val="99"/>
    <w:semiHidden/>
    <w:unhideWhenUsed/>
    <w:rsid w:val="00305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292521505">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61605947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9251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bundesbank.de/resource/blob/606038/5a6612ee8b34e6bffcf793d75eef6244/mL/geld-und-geldpolitik-dat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bundesbank.de/de/publikationen/berichte/monatsberichte/monatsbericht-juli-2013-663492"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hEB0B7e9wxg" TargetMode="External"/><Relationship Id="rId20" Type="http://schemas.openxmlformats.org/officeDocument/2006/relationships/hyperlink" Target="https://www.bundesbank.de/resource/blob/614448/c0acb63e33120467bbb3615c63dc7e1a/mL/2017-04-geldschoepfungsprozess-dat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xHXRE3yKgWg" TargetMode="External"/><Relationship Id="rId22" Type="http://schemas.openxmlformats.org/officeDocument/2006/relationships/hyperlink" Target="https://www.pinterest.de/pin/3234851857158110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40A4-1143-43C3-844A-6B6174FA1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8F48-BBBE-42F8-88EA-12AB030CA8E7}">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55696b60-0389-45c2-bb8c-032517eb46a2"/>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00390642-B37F-4766-B6C1-3386C7FA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6383</Words>
  <Characters>40216</Characters>
  <DocSecurity>0</DocSecurity>
  <Lines>335</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2022-01-07T22:27:00Z</cp:lastPrinted>
  <dcterms:created xsi:type="dcterms:W3CDTF">2022-03-17T10:32:00Z</dcterms:created>
  <dcterms:modified xsi:type="dcterms:W3CDTF">2022-03-30T15:42:00Z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