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2E303" w14:textId="3D2F2BB5" w:rsidR="00EF56FA" w:rsidRDefault="00EF56FA" w:rsidP="00403A78">
      <w:pPr>
        <w:pStyle w:val="Titel"/>
      </w:pPr>
      <w:r>
        <w:t>Der Erlass Kaiser Konstantins aus dem Jahr 321</w:t>
      </w:r>
    </w:p>
    <w:p w14:paraId="0AFA3DD4" w14:textId="57DA22BD" w:rsidR="0023656E" w:rsidRDefault="006C5E5A" w:rsidP="006A377F">
      <w:pPr>
        <w:pStyle w:val="KeinLeerraum"/>
      </w:pPr>
      <w:r>
        <w:t>Übersetzung</w:t>
      </w:r>
      <w:r w:rsidR="007E6C03">
        <w:t>s</w:t>
      </w:r>
      <w:r>
        <w:t xml:space="preserve">text: </w:t>
      </w:r>
      <w:r w:rsidR="007E6C03">
        <w:t>Codex Theodosianus</w:t>
      </w:r>
      <w:r w:rsidR="00EF56FA">
        <w:t xml:space="preserve"> 16.8.3 und Interpretation</w:t>
      </w:r>
    </w:p>
    <w:p w14:paraId="00B0EABA" w14:textId="77777777" w:rsidR="003C2AEE" w:rsidRPr="006A377F" w:rsidRDefault="003C2AEE" w:rsidP="006A377F">
      <w:pPr>
        <w:pStyle w:val="berschrift1"/>
      </w:pPr>
      <w:r w:rsidRPr="006A377F">
        <w:t>Die Bedeutung des Erlasses</w:t>
      </w:r>
    </w:p>
    <w:p w14:paraId="472188FD" w14:textId="77777777" w:rsidR="001916A2" w:rsidRPr="006A377F" w:rsidRDefault="003C2AEE" w:rsidP="001916A2">
      <w:pPr>
        <w:pStyle w:val="Textbody"/>
        <w:jc w:val="both"/>
        <w:rPr>
          <w:sz w:val="22"/>
          <w:szCs w:val="22"/>
        </w:rPr>
      </w:pPr>
      <w:r w:rsidRPr="006A377F">
        <w:rPr>
          <w:sz w:val="22"/>
          <w:szCs w:val="22"/>
        </w:rPr>
        <w:t xml:space="preserve">Im Jahr 2021 wird in Deutschland </w:t>
      </w:r>
      <w:r w:rsidRPr="006A377F">
        <w:rPr>
          <w:i/>
          <w:iCs/>
          <w:sz w:val="22"/>
          <w:szCs w:val="22"/>
        </w:rPr>
        <w:t>1700 Jahre jüdisches Leben in Deutschland</w:t>
      </w:r>
      <w:r w:rsidRPr="006A377F">
        <w:rPr>
          <w:sz w:val="22"/>
          <w:szCs w:val="22"/>
        </w:rPr>
        <w:t xml:space="preserve"> gefeiert. Dieses Datum errechnet sich aus der ersten Erwähnung einer jüdischen Gemeinde auf deutschem Boden. Der Text, in dem diese Gemeinde erwähnt wird, ist ein Erlass, der in einer spätantiken Gesetzessammlung zu finden ist, dem Codex Theodosianus (</w:t>
      </w:r>
      <w:hyperlink r:id="rId8" w:tgtFrame="_blank" w:tooltip="Der Codex Theodosianus (Wikipedia)" w:history="1">
        <w:r w:rsidRPr="006A377F">
          <w:rPr>
            <w:color w:val="0070C0"/>
            <w:sz w:val="22"/>
            <w:szCs w:val="22"/>
            <w:u w:val="single"/>
          </w:rPr>
          <w:t>Wikipedia</w:t>
        </w:r>
      </w:hyperlink>
      <w:r w:rsidRPr="006A377F">
        <w:rPr>
          <w:sz w:val="22"/>
          <w:szCs w:val="22"/>
        </w:rPr>
        <w:t>).</w:t>
      </w:r>
    </w:p>
    <w:p w14:paraId="035A0506" w14:textId="5CE483AA" w:rsidR="003C2AEE" w:rsidRPr="006A377F" w:rsidRDefault="001916A2" w:rsidP="003C2AEE">
      <w:pPr>
        <w:pStyle w:val="Textbody"/>
        <w:jc w:val="both"/>
        <w:rPr>
          <w:sz w:val="22"/>
          <w:szCs w:val="22"/>
        </w:rPr>
      </w:pPr>
      <w:r w:rsidRPr="006A377F">
        <w:rPr>
          <w:sz w:val="22"/>
          <w:szCs w:val="22"/>
        </w:rPr>
        <w:t>Der Erlass, mit dem Kaiser Konstantin im Jahr 321 den Kölner Juden den Zugang zum Stadtrat öffnete, ist das erste Zeugnis jüdischen Lebens auf deutschem Boden.</w:t>
      </w:r>
    </w:p>
    <w:p w14:paraId="459BEE7E" w14:textId="763D6999" w:rsidR="00D51D97" w:rsidRPr="006A377F" w:rsidRDefault="00D51D97" w:rsidP="006A377F">
      <w:pPr>
        <w:pStyle w:val="berschrift1"/>
      </w:pPr>
      <w:r w:rsidRPr="006A377F">
        <w:t>Voraussetzungen für das Verständnis des Erlasses</w:t>
      </w:r>
    </w:p>
    <w:p w14:paraId="6B75C120" w14:textId="60B4FA4B" w:rsidR="00161790" w:rsidRPr="006A377F" w:rsidRDefault="00161790" w:rsidP="00161790">
      <w:pPr>
        <w:pStyle w:val="Textbody"/>
        <w:jc w:val="both"/>
        <w:rPr>
          <w:sz w:val="22"/>
          <w:szCs w:val="22"/>
        </w:rPr>
      </w:pPr>
      <w:r w:rsidRPr="006A377F">
        <w:rPr>
          <w:sz w:val="22"/>
          <w:szCs w:val="22"/>
        </w:rPr>
        <w:t xml:space="preserve">Dem Erlass des Kaisers, der den Juden einen Zugang zur Stadtverwaltung öffnete, muss eine Anfrage der Ratsherren vorausgegangen sein. Das kann man aus der Einleitung erschließen. Dort heißt es </w:t>
      </w:r>
      <w:r w:rsidRPr="006A377F">
        <w:rPr>
          <w:i/>
          <w:iCs/>
          <w:sz w:val="22"/>
          <w:szCs w:val="22"/>
        </w:rPr>
        <w:t>decurionibus Agrippiniensibus</w:t>
      </w:r>
      <w:r w:rsidRPr="006A377F">
        <w:rPr>
          <w:sz w:val="22"/>
          <w:szCs w:val="22"/>
        </w:rPr>
        <w:t xml:space="preserve"> (Dativ), also „an die Kölner</w:t>
      </w:r>
      <w:r w:rsidR="001A75F1" w:rsidRPr="006A377F">
        <w:rPr>
          <w:rStyle w:val="Funotenzeichen"/>
          <w:sz w:val="22"/>
          <w:szCs w:val="22"/>
        </w:rPr>
        <w:footnoteReference w:id="1"/>
      </w:r>
      <w:r w:rsidRPr="006A377F">
        <w:rPr>
          <w:sz w:val="22"/>
          <w:szCs w:val="22"/>
        </w:rPr>
        <w:t xml:space="preserve"> Ratsherren“. Ein solches Schreiben an eine bestimmte Gruppe von Amtsträgern ergibt nur dann einen Sinn – bzw. war nur dann üblich – wenn vorher von dieser Gruppe eine Anfrage an den kaiserlichen Hof gerichtet worden war. Die Frage, welche die Kölner Ratsherren gestellt haben, muss wohl etwa so gelautet haben:</w:t>
      </w:r>
    </w:p>
    <w:p w14:paraId="5EDFCAFE" w14:textId="169A3991" w:rsidR="00161790" w:rsidRPr="006A377F" w:rsidRDefault="00161790" w:rsidP="00161790">
      <w:pPr>
        <w:pStyle w:val="Textbody"/>
        <w:ind w:left="708"/>
        <w:jc w:val="both"/>
        <w:rPr>
          <w:sz w:val="22"/>
          <w:szCs w:val="22"/>
        </w:rPr>
      </w:pPr>
      <w:r w:rsidRPr="006A377F">
        <w:rPr>
          <w:sz w:val="22"/>
          <w:szCs w:val="22"/>
        </w:rPr>
        <w:t>Uns fehlen in Köln Ratsherren – dürfen wir jetzt auch Männer aus der jüdischen Gemeinde in die Stadtverwaltung (ordo</w:t>
      </w:r>
      <w:r w:rsidR="00FF4B7F" w:rsidRPr="006A377F">
        <w:rPr>
          <w:rStyle w:val="Funotenzeichen"/>
          <w:sz w:val="22"/>
          <w:szCs w:val="22"/>
        </w:rPr>
        <w:footnoteReference w:id="2"/>
      </w:r>
      <w:r w:rsidRPr="006A377F">
        <w:rPr>
          <w:sz w:val="22"/>
          <w:szCs w:val="22"/>
        </w:rPr>
        <w:t>) berufen?</w:t>
      </w:r>
    </w:p>
    <w:p w14:paraId="4A7B4897" w14:textId="521FC60C" w:rsidR="00161790" w:rsidRPr="006A377F" w:rsidRDefault="00161790" w:rsidP="00161790">
      <w:pPr>
        <w:pStyle w:val="Textbody"/>
        <w:jc w:val="both"/>
        <w:rPr>
          <w:sz w:val="22"/>
          <w:szCs w:val="22"/>
        </w:rPr>
      </w:pPr>
      <w:r w:rsidRPr="006A377F">
        <w:rPr>
          <w:sz w:val="22"/>
          <w:szCs w:val="22"/>
        </w:rPr>
        <w:t xml:space="preserve">Man darf sich das nicht so vorstellen, dass die Kandidaten für den Stadtrat sich wie in einem heutigen Wahlkampf um die Mitgliedschaft im Stadtrat bewarben. Vielmehr bedeutete die Mitgliedschaft im </w:t>
      </w:r>
      <w:r w:rsidRPr="006A377F">
        <w:rPr>
          <w:i/>
          <w:iCs/>
          <w:sz w:val="22"/>
          <w:szCs w:val="22"/>
        </w:rPr>
        <w:t>ordo</w:t>
      </w:r>
      <w:r w:rsidRPr="006A377F">
        <w:rPr>
          <w:sz w:val="22"/>
          <w:szCs w:val="22"/>
        </w:rPr>
        <w:t xml:space="preserve"> der Stadtverwaltung nicht nur eine Ehre, sondern auch eine Last, denn die Stadträte mussten nicht nur ein bestimmtes Vermögen vorweisen, sondern sie mussten auch eine bestimmte Summe bezahlen. Werner Eck</w:t>
      </w:r>
      <w:r w:rsidRPr="006A377F">
        <w:rPr>
          <w:rStyle w:val="Funotenzeichen"/>
          <w:sz w:val="22"/>
          <w:szCs w:val="22"/>
        </w:rPr>
        <w:footnoteReference w:id="3"/>
      </w:r>
      <w:r w:rsidRPr="006A377F">
        <w:rPr>
          <w:sz w:val="22"/>
          <w:szCs w:val="22"/>
        </w:rPr>
        <w:t xml:space="preserve"> schätzt aus dem Vergleich mit anderen Städten, dass einige Tausend Denare zu bezahlen waren, wobei der Jahressold eines Soldaten zu dieser Zeit 1800 Denare betrug.</w:t>
      </w:r>
    </w:p>
    <w:p w14:paraId="738A47C8" w14:textId="307FD4C9" w:rsidR="00161790" w:rsidRPr="006A377F" w:rsidRDefault="00161790" w:rsidP="00161790">
      <w:pPr>
        <w:pStyle w:val="Textbody"/>
        <w:jc w:val="both"/>
        <w:rPr>
          <w:sz w:val="22"/>
          <w:szCs w:val="22"/>
        </w:rPr>
      </w:pPr>
      <w:r w:rsidRPr="006A377F">
        <w:rPr>
          <w:sz w:val="22"/>
          <w:szCs w:val="22"/>
        </w:rPr>
        <w:t>Aus diesen Zahlen kann man auch erschließen, dass es in den jüdischen Gemeinden Menschen gegeben haben muss, die begütert genug waren, um diese Summen aufbringen zu können.</w:t>
      </w:r>
    </w:p>
    <w:p w14:paraId="511A1E05" w14:textId="2C0939F0" w:rsidR="00494959" w:rsidRPr="006A377F" w:rsidRDefault="00161790" w:rsidP="00161790">
      <w:pPr>
        <w:pStyle w:val="Textbody"/>
        <w:jc w:val="both"/>
        <w:rPr>
          <w:sz w:val="22"/>
          <w:szCs w:val="22"/>
        </w:rPr>
      </w:pPr>
      <w:r w:rsidRPr="006A377F">
        <w:rPr>
          <w:sz w:val="22"/>
          <w:szCs w:val="22"/>
        </w:rPr>
        <w:t xml:space="preserve">In dem Erlass kommt das Wort </w:t>
      </w:r>
      <w:r w:rsidRPr="006A377F">
        <w:rPr>
          <w:i/>
          <w:iCs/>
          <w:sz w:val="22"/>
          <w:szCs w:val="22"/>
        </w:rPr>
        <w:t>privilegium</w:t>
      </w:r>
      <w:r w:rsidRPr="006A377F">
        <w:rPr>
          <w:sz w:val="22"/>
          <w:szCs w:val="22"/>
        </w:rPr>
        <w:t xml:space="preserve"> vor, das tatsächlich mit</w:t>
      </w:r>
      <w:r w:rsidRPr="006A377F">
        <w:rPr>
          <w:sz w:val="22"/>
          <w:szCs w:val="22"/>
        </w:rPr>
        <w:t xml:space="preserve"> „</w:t>
      </w:r>
      <w:r w:rsidRPr="006A377F">
        <w:rPr>
          <w:sz w:val="22"/>
          <w:szCs w:val="22"/>
        </w:rPr>
        <w:t>Privileg</w:t>
      </w:r>
      <w:r w:rsidRPr="006A377F">
        <w:rPr>
          <w:sz w:val="22"/>
          <w:szCs w:val="22"/>
        </w:rPr>
        <w:t>“</w:t>
      </w:r>
      <w:r w:rsidRPr="006A377F">
        <w:rPr>
          <w:sz w:val="22"/>
          <w:szCs w:val="22"/>
        </w:rPr>
        <w:t xml:space="preserve"> übersetzt werden kann. Das Privileg, das die Juden erhielten, bestand aber nicht darin, in die Stadtverwaltung zugelassen zu werden, sondern vielmehr darin, dass nur einige von ihnen diesem Ruf folgen mussten.</w:t>
      </w:r>
    </w:p>
    <w:p w14:paraId="79006A26" w14:textId="77777777" w:rsidR="00494959" w:rsidRDefault="00494959">
      <w:pPr>
        <w:spacing w:after="0" w:line="240" w:lineRule="auto"/>
      </w:pPr>
      <w:r>
        <w:br w:type="page"/>
      </w:r>
    </w:p>
    <w:p w14:paraId="2075A619" w14:textId="40EEADA7" w:rsidR="00DF488F" w:rsidRPr="00DF488F" w:rsidRDefault="00EF56FA" w:rsidP="00BB23DD">
      <w:pPr>
        <w:pStyle w:val="berschrift1"/>
      </w:pPr>
      <w:r>
        <w:lastRenderedPageBreak/>
        <w:t>Text</w:t>
      </w:r>
      <w:r w:rsidR="00BB23DD">
        <w:t xml:space="preserve">: </w:t>
      </w:r>
      <w:r w:rsidR="00DF488F">
        <w:t>Codex Theodosianus 16.8.3</w:t>
      </w:r>
    </w:p>
    <w:tbl>
      <w:tblPr>
        <w:tblW w:w="971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87"/>
        <w:gridCol w:w="4824"/>
      </w:tblGrid>
      <w:tr w:rsidR="00F7421E" w:rsidRPr="00D66DDD" w14:paraId="545C9A3C" w14:textId="77777777" w:rsidTr="00494959">
        <w:trPr>
          <w:cantSplit/>
          <w:trHeight w:val="1488"/>
        </w:trPr>
        <w:tc>
          <w:tcPr>
            <w:tcW w:w="4887" w:type="dxa"/>
            <w:vAlign w:val="center"/>
          </w:tcPr>
          <w:p w14:paraId="4D3E7745" w14:textId="18C2806F" w:rsidR="00F7421E" w:rsidRDefault="00F7421E" w:rsidP="00204368">
            <w:pPr>
              <w:tabs>
                <w:tab w:val="left" w:pos="640"/>
              </w:tabs>
              <w:spacing w:line="360" w:lineRule="auto"/>
              <w:rPr>
                <w:sz w:val="28"/>
                <w:szCs w:val="28"/>
                <w:lang w:val="la-Latn"/>
              </w:rPr>
            </w:pPr>
            <w:r w:rsidRPr="00DF488F">
              <w:rPr>
                <w:sz w:val="28"/>
                <w:szCs w:val="28"/>
                <w:lang w:val="la-Latn"/>
              </w:rPr>
              <w:t xml:space="preserve">Idem </w:t>
            </w:r>
            <w:r w:rsidR="00421436">
              <w:rPr>
                <w:sz w:val="28"/>
                <w:szCs w:val="28"/>
              </w:rPr>
              <w:t>A</w:t>
            </w:r>
            <w:r w:rsidRPr="00DF488F">
              <w:rPr>
                <w:sz w:val="28"/>
                <w:szCs w:val="28"/>
                <w:lang w:val="la-Latn"/>
              </w:rPr>
              <w:t xml:space="preserve">. decurionibus </w:t>
            </w:r>
            <w:r>
              <w:rPr>
                <w:sz w:val="28"/>
                <w:szCs w:val="28"/>
              </w:rPr>
              <w:t>A</w:t>
            </w:r>
            <w:r w:rsidRPr="00DF488F">
              <w:rPr>
                <w:sz w:val="28"/>
                <w:szCs w:val="28"/>
                <w:lang w:val="la-Latn"/>
              </w:rPr>
              <w:t>grippiniensibus.</w:t>
            </w:r>
          </w:p>
          <w:p w14:paraId="4C3673B7" w14:textId="71C1E805" w:rsidR="00F7421E" w:rsidRPr="00DF488F" w:rsidRDefault="00F7421E" w:rsidP="00204368">
            <w:pPr>
              <w:tabs>
                <w:tab w:val="left" w:pos="640"/>
              </w:tabs>
              <w:spacing w:line="360" w:lineRule="auto"/>
              <w:rPr>
                <w:rFonts w:ascii="Times New Roman" w:hAnsi="Times New Roman"/>
                <w:sz w:val="28"/>
                <w:szCs w:val="28"/>
                <w:lang w:val="la-Latn"/>
              </w:rPr>
            </w:pPr>
            <w:r w:rsidRPr="00DF488F">
              <w:rPr>
                <w:sz w:val="28"/>
                <w:szCs w:val="28"/>
                <w:lang w:val="la-Latn"/>
              </w:rPr>
              <w:t xml:space="preserve">Cunctis ordinibus generali lege concedimus </w:t>
            </w:r>
            <w:r>
              <w:rPr>
                <w:sz w:val="28"/>
                <w:szCs w:val="28"/>
              </w:rPr>
              <w:t>I</w:t>
            </w:r>
            <w:r w:rsidRPr="00DF488F">
              <w:rPr>
                <w:sz w:val="28"/>
                <w:szCs w:val="28"/>
                <w:lang w:val="la-Latn"/>
              </w:rPr>
              <w:t xml:space="preserve">udaeos vocari ad curiam. </w:t>
            </w:r>
          </w:p>
        </w:tc>
        <w:tc>
          <w:tcPr>
            <w:tcW w:w="4824" w:type="dxa"/>
            <w:shd w:val="pct5" w:color="auto" w:fill="auto"/>
            <w:vAlign w:val="center"/>
          </w:tcPr>
          <w:p w14:paraId="0FB43C80" w14:textId="434F7CC1" w:rsidR="00F7421E" w:rsidRPr="00494959" w:rsidRDefault="00F7421E" w:rsidP="00714A80">
            <w:pPr>
              <w:tabs>
                <w:tab w:val="left" w:pos="357"/>
              </w:tabs>
              <w:ind w:left="357" w:hanging="357"/>
              <w:rPr>
                <w:rFonts w:ascii="Times New Roman" w:hAnsi="Times New Roman"/>
                <w:noProof/>
                <w:sz w:val="20"/>
              </w:rPr>
            </w:pPr>
            <w:r w:rsidRPr="00494959">
              <w:rPr>
                <w:rFonts w:ascii="Times New Roman" w:hAnsi="Times New Roman"/>
                <w:noProof/>
                <w:sz w:val="20"/>
              </w:rPr>
              <w:t xml:space="preserve">idem: derselbe (wie in den voraufgehenden Erlassen Codex Theodosianus 16.1. – </w:t>
            </w:r>
            <w:r w:rsidR="001A75F1" w:rsidRPr="00494959">
              <w:rPr>
                <w:rFonts w:ascii="Times New Roman" w:hAnsi="Times New Roman"/>
                <w:noProof/>
                <w:sz w:val="20"/>
              </w:rPr>
              <w:t>16.</w:t>
            </w:r>
            <w:r w:rsidRPr="00494959">
              <w:rPr>
                <w:rFonts w:ascii="Times New Roman" w:hAnsi="Times New Roman"/>
                <w:noProof/>
                <w:sz w:val="20"/>
              </w:rPr>
              <w:t>7.</w:t>
            </w:r>
            <w:r w:rsidR="00421436" w:rsidRPr="00494959">
              <w:rPr>
                <w:rFonts w:ascii="Times New Roman" w:hAnsi="Times New Roman"/>
                <w:noProof/>
                <w:sz w:val="20"/>
              </w:rPr>
              <w:t>)</w:t>
            </w:r>
            <w:r w:rsidRPr="00494959">
              <w:rPr>
                <w:rFonts w:ascii="Times New Roman" w:hAnsi="Times New Roman"/>
                <w:noProof/>
                <w:sz w:val="20"/>
              </w:rPr>
              <w:t xml:space="preserve"> Gemeint ist Kaiser Konstantin</w:t>
            </w:r>
            <w:r w:rsidR="00421436" w:rsidRPr="00494959">
              <w:rPr>
                <w:rFonts w:ascii="Times New Roman" w:hAnsi="Times New Roman"/>
                <w:noProof/>
                <w:sz w:val="20"/>
              </w:rPr>
              <w:t xml:space="preserve"> (A = Augustus)</w:t>
            </w:r>
            <w:r w:rsidR="001A75F1" w:rsidRPr="00494959">
              <w:rPr>
                <w:rFonts w:ascii="Times New Roman" w:hAnsi="Times New Roman"/>
                <w:noProof/>
                <w:sz w:val="20"/>
              </w:rPr>
              <w:t>.</w:t>
            </w:r>
          </w:p>
          <w:p w14:paraId="414DBEDB" w14:textId="77777777" w:rsidR="001A75F1" w:rsidRPr="00494959" w:rsidRDefault="001A75F1" w:rsidP="00714A80">
            <w:pPr>
              <w:tabs>
                <w:tab w:val="left" w:pos="357"/>
              </w:tabs>
              <w:ind w:left="357" w:hanging="357"/>
              <w:rPr>
                <w:rFonts w:ascii="Times New Roman" w:hAnsi="Times New Roman"/>
                <w:noProof/>
                <w:sz w:val="20"/>
              </w:rPr>
            </w:pPr>
            <w:r w:rsidRPr="00494959">
              <w:rPr>
                <w:rFonts w:ascii="Times New Roman" w:hAnsi="Times New Roman"/>
                <w:noProof/>
                <w:sz w:val="20"/>
              </w:rPr>
              <w:t>decuriōnes Agrippiniēnses: die Kölner Ratsherren. Der Dativ ist mit „an die Kölner Ratsherren“ zu übersetzen.</w:t>
            </w:r>
          </w:p>
          <w:p w14:paraId="0123170E" w14:textId="4330B09A" w:rsidR="00421436" w:rsidRPr="00494959" w:rsidRDefault="00421436" w:rsidP="00714A80">
            <w:pPr>
              <w:tabs>
                <w:tab w:val="left" w:pos="357"/>
              </w:tabs>
              <w:ind w:left="357" w:hanging="357"/>
              <w:rPr>
                <w:rFonts w:ascii="Times New Roman" w:hAnsi="Times New Roman"/>
                <w:noProof/>
                <w:sz w:val="20"/>
              </w:rPr>
            </w:pPr>
            <w:r w:rsidRPr="00494959">
              <w:rPr>
                <w:rFonts w:ascii="Times New Roman" w:hAnsi="Times New Roman"/>
                <w:noProof/>
                <w:sz w:val="20"/>
              </w:rPr>
              <w:t>ōrdō, ōrdinis, m.: die städtische Ratsversammlung (siehe oben, Voraussetzungen...)</w:t>
            </w:r>
          </w:p>
          <w:p w14:paraId="3DF3DEC2" w14:textId="5F9E27B2" w:rsidR="005059B4" w:rsidRPr="00494959" w:rsidRDefault="005059B4" w:rsidP="00714A80">
            <w:pPr>
              <w:tabs>
                <w:tab w:val="left" w:pos="357"/>
              </w:tabs>
              <w:ind w:left="357" w:hanging="357"/>
              <w:rPr>
                <w:rFonts w:ascii="Times New Roman" w:hAnsi="Times New Roman"/>
                <w:noProof/>
                <w:sz w:val="20"/>
              </w:rPr>
            </w:pPr>
            <w:r w:rsidRPr="00494959">
              <w:rPr>
                <w:rFonts w:ascii="Times New Roman" w:hAnsi="Times New Roman"/>
                <w:noProof/>
                <w:sz w:val="20"/>
              </w:rPr>
              <w:t>generālis, generāle: allgemein</w:t>
            </w:r>
            <w:r w:rsidRPr="00494959">
              <w:rPr>
                <w:rFonts w:ascii="Times New Roman" w:hAnsi="Times New Roman"/>
                <w:noProof/>
                <w:sz w:val="20"/>
              </w:rPr>
              <w:t xml:space="preserve">. </w:t>
            </w:r>
            <w:r w:rsidRPr="00494959">
              <w:rPr>
                <w:rFonts w:ascii="Times New Roman" w:hAnsi="Times New Roman"/>
                <w:i/>
                <w:iCs/>
                <w:noProof/>
                <w:sz w:val="20"/>
              </w:rPr>
              <w:t>G</w:t>
            </w:r>
            <w:r w:rsidRPr="00494959">
              <w:rPr>
                <w:rFonts w:ascii="Times New Roman" w:hAnsi="Times New Roman"/>
                <w:i/>
                <w:iCs/>
                <w:noProof/>
                <w:sz w:val="20"/>
              </w:rPr>
              <w:t>enerali lege</w:t>
            </w:r>
            <w:r w:rsidRPr="00494959">
              <w:rPr>
                <w:rFonts w:ascii="Times New Roman" w:hAnsi="Times New Roman"/>
                <w:noProof/>
                <w:sz w:val="20"/>
              </w:rPr>
              <w:t>: es geht also nicht um ein Gesetz, das nur auf diese eine Stadt bezogen ist, sondern um ein Gesetz für alle Stadträte. Daher kann man aus diesem Gesetz auch allgemeine Schlüsse darauf ziehen, wie der Kaiser zu den Juden stand.</w:t>
            </w:r>
          </w:p>
          <w:p w14:paraId="1EF9130D" w14:textId="3E81435B" w:rsidR="00F7421E" w:rsidRPr="00494959" w:rsidRDefault="00F7421E" w:rsidP="00714A80">
            <w:pPr>
              <w:tabs>
                <w:tab w:val="left" w:pos="357"/>
              </w:tabs>
              <w:ind w:left="357" w:hanging="357"/>
              <w:rPr>
                <w:rFonts w:ascii="Times New Roman" w:hAnsi="Times New Roman"/>
                <w:noProof/>
                <w:sz w:val="20"/>
              </w:rPr>
            </w:pPr>
          </w:p>
        </w:tc>
      </w:tr>
      <w:tr w:rsidR="00F7421E" w:rsidRPr="00D66DDD" w14:paraId="467C2D4E" w14:textId="77777777" w:rsidTr="00494959">
        <w:trPr>
          <w:cantSplit/>
          <w:trHeight w:val="732"/>
        </w:trPr>
        <w:tc>
          <w:tcPr>
            <w:tcW w:w="4887" w:type="dxa"/>
            <w:vAlign w:val="center"/>
          </w:tcPr>
          <w:p w14:paraId="32DD204A" w14:textId="77777777" w:rsidR="00F7421E" w:rsidRDefault="00F7421E" w:rsidP="00204368">
            <w:pPr>
              <w:tabs>
                <w:tab w:val="left" w:pos="640"/>
              </w:tabs>
              <w:spacing w:line="360" w:lineRule="auto"/>
              <w:rPr>
                <w:sz w:val="28"/>
                <w:szCs w:val="28"/>
                <w:lang w:val="la-Latn"/>
              </w:rPr>
            </w:pPr>
            <w:r>
              <w:rPr>
                <w:sz w:val="28"/>
                <w:szCs w:val="28"/>
              </w:rPr>
              <w:t>V</w:t>
            </w:r>
            <w:r w:rsidRPr="00DF488F">
              <w:rPr>
                <w:sz w:val="28"/>
                <w:szCs w:val="28"/>
                <w:lang w:val="la-Latn"/>
              </w:rPr>
              <w:t>erum ut aliquid ipsis ad solacium pristinae observationis relinquatur, binos vel ternos privilegio perpeti patimur nullis nominationibus occupari.</w:t>
            </w:r>
          </w:p>
          <w:p w14:paraId="32A709E5" w14:textId="6E0789A3" w:rsidR="00F7421E" w:rsidRPr="001A75F1" w:rsidRDefault="00F7421E" w:rsidP="00204368">
            <w:pPr>
              <w:tabs>
                <w:tab w:val="left" w:pos="640"/>
              </w:tabs>
              <w:spacing w:line="360" w:lineRule="auto"/>
              <w:rPr>
                <w:rFonts w:ascii="Times New Roman" w:hAnsi="Times New Roman"/>
                <w:sz w:val="28"/>
                <w:szCs w:val="28"/>
              </w:rPr>
            </w:pPr>
            <w:r>
              <w:rPr>
                <w:sz w:val="28"/>
                <w:szCs w:val="28"/>
              </w:rPr>
              <w:t>D</w:t>
            </w:r>
            <w:r w:rsidRPr="00DF488F">
              <w:rPr>
                <w:sz w:val="28"/>
                <w:szCs w:val="28"/>
                <w:lang w:val="la-Latn"/>
              </w:rPr>
              <w:t xml:space="preserve">at. iii id. </w:t>
            </w:r>
            <w:r>
              <w:rPr>
                <w:sz w:val="28"/>
                <w:szCs w:val="28"/>
              </w:rPr>
              <w:t>D</w:t>
            </w:r>
            <w:r w:rsidRPr="00DF488F">
              <w:rPr>
                <w:sz w:val="28"/>
                <w:szCs w:val="28"/>
                <w:lang w:val="la-Latn"/>
              </w:rPr>
              <w:t xml:space="preserve">ec. </w:t>
            </w:r>
            <w:r>
              <w:rPr>
                <w:sz w:val="28"/>
                <w:szCs w:val="28"/>
              </w:rPr>
              <w:t>C</w:t>
            </w:r>
            <w:r w:rsidRPr="00DF488F">
              <w:rPr>
                <w:sz w:val="28"/>
                <w:szCs w:val="28"/>
                <w:lang w:val="la-Latn"/>
              </w:rPr>
              <w:t xml:space="preserve">rispo ii et </w:t>
            </w:r>
            <w:r>
              <w:rPr>
                <w:sz w:val="28"/>
                <w:szCs w:val="28"/>
              </w:rPr>
              <w:t>C</w:t>
            </w:r>
            <w:r w:rsidRPr="00DF488F">
              <w:rPr>
                <w:sz w:val="28"/>
                <w:szCs w:val="28"/>
                <w:lang w:val="la-Latn"/>
              </w:rPr>
              <w:t>onstantino ii cc</w:t>
            </w:r>
            <w:r w:rsidR="001A75F1">
              <w:rPr>
                <w:sz w:val="28"/>
                <w:szCs w:val="28"/>
              </w:rPr>
              <w:t>.</w:t>
            </w:r>
          </w:p>
        </w:tc>
        <w:tc>
          <w:tcPr>
            <w:tcW w:w="4824" w:type="dxa"/>
            <w:shd w:val="pct5" w:color="auto" w:fill="auto"/>
          </w:tcPr>
          <w:p w14:paraId="492059BB" w14:textId="6D38CDEC" w:rsidR="001A75F1" w:rsidRPr="00494959" w:rsidRDefault="001A75F1" w:rsidP="00714A80">
            <w:pPr>
              <w:tabs>
                <w:tab w:val="left" w:pos="357"/>
              </w:tabs>
              <w:ind w:left="357" w:hanging="357"/>
              <w:rPr>
                <w:rFonts w:ascii="Times New Roman" w:hAnsi="Times New Roman"/>
                <w:noProof/>
                <w:sz w:val="20"/>
              </w:rPr>
            </w:pPr>
            <w:r w:rsidRPr="00494959">
              <w:rPr>
                <w:rFonts w:ascii="Times New Roman" w:hAnsi="Times New Roman"/>
                <w:noProof/>
                <w:sz w:val="20"/>
              </w:rPr>
              <w:t xml:space="preserve">ipsis: gemeint sind die Juden. Ergänze also </w:t>
            </w:r>
            <w:r w:rsidRPr="00494959">
              <w:rPr>
                <w:rFonts w:ascii="Times New Roman" w:hAnsi="Times New Roman"/>
                <w:i/>
                <w:iCs/>
                <w:noProof/>
                <w:sz w:val="20"/>
              </w:rPr>
              <w:t>Iudaeis</w:t>
            </w:r>
            <w:r w:rsidRPr="00494959">
              <w:rPr>
                <w:rFonts w:ascii="Times New Roman" w:hAnsi="Times New Roman"/>
                <w:noProof/>
                <w:sz w:val="20"/>
              </w:rPr>
              <w:t>.</w:t>
            </w:r>
          </w:p>
          <w:p w14:paraId="6F450331" w14:textId="3D1E293A" w:rsidR="00F7421E" w:rsidRPr="00494959" w:rsidRDefault="00F7421E" w:rsidP="00714A80">
            <w:pPr>
              <w:tabs>
                <w:tab w:val="left" w:pos="357"/>
              </w:tabs>
              <w:ind w:left="357" w:hanging="357"/>
              <w:rPr>
                <w:rFonts w:ascii="Times New Roman" w:hAnsi="Times New Roman"/>
                <w:noProof/>
                <w:sz w:val="20"/>
              </w:rPr>
            </w:pPr>
            <w:r w:rsidRPr="00494959">
              <w:rPr>
                <w:rFonts w:ascii="Times New Roman" w:hAnsi="Times New Roman"/>
                <w:noProof/>
                <w:sz w:val="20"/>
              </w:rPr>
              <w:t>sōlācium: der Trost</w:t>
            </w:r>
          </w:p>
          <w:p w14:paraId="0B0169F5" w14:textId="5F0228BF" w:rsidR="00F7421E" w:rsidRPr="00494959" w:rsidRDefault="00F7421E" w:rsidP="00714A80">
            <w:pPr>
              <w:tabs>
                <w:tab w:val="left" w:pos="357"/>
              </w:tabs>
              <w:ind w:left="357" w:hanging="357"/>
              <w:rPr>
                <w:rFonts w:ascii="Times New Roman" w:hAnsi="Times New Roman"/>
                <w:noProof/>
                <w:sz w:val="20"/>
              </w:rPr>
            </w:pPr>
            <w:r w:rsidRPr="00494959">
              <w:rPr>
                <w:rFonts w:ascii="Times New Roman" w:hAnsi="Times New Roman"/>
                <w:noProof/>
                <w:sz w:val="20"/>
              </w:rPr>
              <w:t>prīstinus, prīstina, prīstinum: ehemalig, früher</w:t>
            </w:r>
          </w:p>
          <w:p w14:paraId="70E218FA" w14:textId="79D4343A" w:rsidR="00D51D97" w:rsidRPr="00494959" w:rsidRDefault="00D51D97" w:rsidP="00714A80">
            <w:pPr>
              <w:tabs>
                <w:tab w:val="left" w:pos="357"/>
              </w:tabs>
              <w:ind w:left="357" w:hanging="357"/>
              <w:rPr>
                <w:rFonts w:ascii="Times New Roman" w:hAnsi="Times New Roman"/>
                <w:noProof/>
                <w:sz w:val="20"/>
              </w:rPr>
            </w:pPr>
            <w:r w:rsidRPr="00494959">
              <w:rPr>
                <w:rFonts w:ascii="Times New Roman" w:hAnsi="Times New Roman"/>
                <w:noProof/>
                <w:sz w:val="20"/>
              </w:rPr>
              <w:t>solacium … pristinae observationis: Die Erläuterung zu den Gebühren, die die Stadträte aufbringen mussten, macht deutlich, wieso man eher getröstet als beglückwünscht werden musste, wenn man einen Zugang zum Stadtrat bekam.</w:t>
            </w:r>
          </w:p>
          <w:p w14:paraId="4A9E7DEC" w14:textId="4B3DC3AE" w:rsidR="00F7421E" w:rsidRPr="00494959" w:rsidRDefault="00F7421E" w:rsidP="00714A80">
            <w:pPr>
              <w:tabs>
                <w:tab w:val="left" w:pos="357"/>
              </w:tabs>
              <w:ind w:left="357" w:hanging="357"/>
              <w:rPr>
                <w:rFonts w:ascii="Times New Roman" w:hAnsi="Times New Roman"/>
                <w:noProof/>
                <w:sz w:val="20"/>
              </w:rPr>
            </w:pPr>
            <w:r w:rsidRPr="00494959">
              <w:rPr>
                <w:rFonts w:ascii="Times New Roman" w:hAnsi="Times New Roman"/>
                <w:noProof/>
                <w:sz w:val="20"/>
              </w:rPr>
              <w:t>observātiō, observātiōnis, f.: die Regelung</w:t>
            </w:r>
          </w:p>
          <w:p w14:paraId="1B88C40D" w14:textId="49351D02" w:rsidR="00F7421E" w:rsidRPr="00494959" w:rsidRDefault="00F7421E" w:rsidP="00714A80">
            <w:pPr>
              <w:tabs>
                <w:tab w:val="left" w:pos="357"/>
              </w:tabs>
              <w:ind w:left="357" w:hanging="357"/>
              <w:rPr>
                <w:rFonts w:ascii="Times New Roman" w:hAnsi="Times New Roman"/>
                <w:noProof/>
                <w:sz w:val="20"/>
              </w:rPr>
            </w:pPr>
            <w:r w:rsidRPr="00494959">
              <w:rPr>
                <w:rFonts w:ascii="Times New Roman" w:hAnsi="Times New Roman"/>
                <w:noProof/>
                <w:sz w:val="20"/>
              </w:rPr>
              <w:t>bīnī: / ternī: je zwei / je drei</w:t>
            </w:r>
            <w:r w:rsidR="00421436" w:rsidRPr="00494959">
              <w:rPr>
                <w:rFonts w:ascii="Times New Roman" w:hAnsi="Times New Roman"/>
                <w:noProof/>
                <w:sz w:val="20"/>
              </w:rPr>
              <w:t xml:space="preserve">. </w:t>
            </w:r>
            <w:r w:rsidR="00421436" w:rsidRPr="00494959">
              <w:rPr>
                <w:rFonts w:ascii="Times New Roman" w:hAnsi="Times New Roman"/>
                <w:noProof/>
                <w:sz w:val="20"/>
              </w:rPr>
              <w:t>Im Gegensatz zu den Angehörigen anderer Religionen erhielten die Juden das Privileg, nur einige Mitglieder ihrer Gemeinde in den Stadtrat entsenden zu müssen.</w:t>
            </w:r>
          </w:p>
          <w:p w14:paraId="2E6E4EA1" w14:textId="791C56CB" w:rsidR="00F7421E" w:rsidRPr="00494959" w:rsidRDefault="00F7421E" w:rsidP="00714A80">
            <w:pPr>
              <w:tabs>
                <w:tab w:val="left" w:pos="357"/>
              </w:tabs>
              <w:ind w:left="357" w:hanging="357"/>
              <w:rPr>
                <w:rFonts w:ascii="Times New Roman" w:hAnsi="Times New Roman"/>
                <w:noProof/>
                <w:sz w:val="20"/>
              </w:rPr>
            </w:pPr>
            <w:r w:rsidRPr="00494959">
              <w:rPr>
                <w:rFonts w:ascii="Times New Roman" w:hAnsi="Times New Roman"/>
                <w:noProof/>
                <w:sz w:val="20"/>
              </w:rPr>
              <w:t>perpe</w:t>
            </w:r>
            <w:r w:rsidR="00AF0FF6" w:rsidRPr="00494959">
              <w:rPr>
                <w:rFonts w:ascii="Times New Roman" w:hAnsi="Times New Roman"/>
                <w:noProof/>
                <w:sz w:val="20"/>
              </w:rPr>
              <w:t>s, perpet</w:t>
            </w:r>
            <w:r w:rsidRPr="00494959">
              <w:rPr>
                <w:rFonts w:ascii="Times New Roman" w:hAnsi="Times New Roman"/>
                <w:noProof/>
                <w:sz w:val="20"/>
              </w:rPr>
              <w:t>ī</w:t>
            </w:r>
            <w:r w:rsidR="00AF0FF6" w:rsidRPr="00494959">
              <w:rPr>
                <w:rFonts w:ascii="Times New Roman" w:hAnsi="Times New Roman"/>
                <w:noProof/>
                <w:sz w:val="20"/>
              </w:rPr>
              <w:t>s</w:t>
            </w:r>
            <w:r w:rsidRPr="00494959">
              <w:rPr>
                <w:rFonts w:ascii="Times New Roman" w:hAnsi="Times New Roman"/>
                <w:noProof/>
                <w:sz w:val="20"/>
              </w:rPr>
              <w:t xml:space="preserve">: </w:t>
            </w:r>
            <w:r w:rsidR="00AF0FF6" w:rsidRPr="00494959">
              <w:rPr>
                <w:rFonts w:ascii="Times New Roman" w:hAnsi="Times New Roman"/>
                <w:noProof/>
                <w:sz w:val="20"/>
              </w:rPr>
              <w:t>dauernd (fast nur spätlateinisch verwendet; im klassischen Latein: perpetuus</w:t>
            </w:r>
          </w:p>
          <w:p w14:paraId="5E180A71" w14:textId="1B8114E3" w:rsidR="00F7421E" w:rsidRPr="00494959" w:rsidRDefault="00F7421E" w:rsidP="00714A80">
            <w:pPr>
              <w:tabs>
                <w:tab w:val="left" w:pos="357"/>
              </w:tabs>
              <w:ind w:left="357" w:hanging="357"/>
              <w:rPr>
                <w:rFonts w:ascii="Times New Roman" w:hAnsi="Times New Roman"/>
                <w:noProof/>
                <w:sz w:val="20"/>
              </w:rPr>
            </w:pPr>
            <w:r w:rsidRPr="00494959">
              <w:rPr>
                <w:rFonts w:ascii="Times New Roman" w:hAnsi="Times New Roman"/>
                <w:noProof/>
                <w:sz w:val="20"/>
              </w:rPr>
              <w:t>pati, patior, passus sum: gestatten</w:t>
            </w:r>
          </w:p>
          <w:p w14:paraId="5331F83A" w14:textId="1F5EC693" w:rsidR="00F7421E" w:rsidRPr="00494959" w:rsidRDefault="00F7421E" w:rsidP="00714A80">
            <w:pPr>
              <w:tabs>
                <w:tab w:val="left" w:pos="357"/>
              </w:tabs>
              <w:ind w:left="357" w:hanging="357"/>
              <w:rPr>
                <w:rFonts w:ascii="Times New Roman" w:hAnsi="Times New Roman"/>
                <w:noProof/>
                <w:sz w:val="20"/>
              </w:rPr>
            </w:pPr>
            <w:r w:rsidRPr="00494959">
              <w:rPr>
                <w:rFonts w:ascii="Times New Roman" w:hAnsi="Times New Roman"/>
                <w:noProof/>
                <w:sz w:val="20"/>
              </w:rPr>
              <w:t>nōminātiō, nōminātiōnis, f.: die Ernennung</w:t>
            </w:r>
            <w:r w:rsidR="00AF0FF6" w:rsidRPr="00494959">
              <w:rPr>
                <w:rFonts w:ascii="Times New Roman" w:hAnsi="Times New Roman"/>
                <w:noProof/>
                <w:sz w:val="20"/>
              </w:rPr>
              <w:t>, die Nominierung</w:t>
            </w:r>
          </w:p>
          <w:p w14:paraId="1768CEAE" w14:textId="54CD13DA" w:rsidR="00AF0FF6" w:rsidRPr="00494959" w:rsidRDefault="00AF0FF6" w:rsidP="00714A80">
            <w:pPr>
              <w:tabs>
                <w:tab w:val="left" w:pos="357"/>
              </w:tabs>
              <w:ind w:left="357" w:hanging="357"/>
              <w:rPr>
                <w:rFonts w:ascii="Times New Roman" w:hAnsi="Times New Roman"/>
                <w:noProof/>
                <w:sz w:val="20"/>
              </w:rPr>
            </w:pPr>
            <w:r w:rsidRPr="00494959">
              <w:rPr>
                <w:rFonts w:ascii="Times New Roman" w:hAnsi="Times New Roman"/>
                <w:noProof/>
                <w:sz w:val="20"/>
              </w:rPr>
              <w:t>occupare: in Anspruch nehmen</w:t>
            </w:r>
          </w:p>
          <w:p w14:paraId="59FF6A81" w14:textId="471CB6EE" w:rsidR="00F7421E" w:rsidRPr="00494959" w:rsidRDefault="00F7421E" w:rsidP="00714A80">
            <w:pPr>
              <w:tabs>
                <w:tab w:val="left" w:pos="357"/>
              </w:tabs>
              <w:ind w:left="357" w:hanging="357"/>
              <w:rPr>
                <w:rFonts w:ascii="Times New Roman" w:hAnsi="Times New Roman"/>
                <w:noProof/>
                <w:sz w:val="20"/>
              </w:rPr>
            </w:pPr>
            <w:r w:rsidRPr="00494959">
              <w:rPr>
                <w:rFonts w:ascii="Times New Roman" w:hAnsi="Times New Roman"/>
                <w:noProof/>
                <w:sz w:val="20"/>
              </w:rPr>
              <w:t>Dat.: datum, d. .h „erlassen“</w:t>
            </w:r>
            <w:r w:rsidR="001916A2" w:rsidRPr="00494959">
              <w:rPr>
                <w:rFonts w:ascii="Times New Roman" w:hAnsi="Times New Roman"/>
                <w:noProof/>
                <w:sz w:val="20"/>
              </w:rPr>
              <w:t>. iii id. Dec: 11. Dezember</w:t>
            </w:r>
          </w:p>
          <w:p w14:paraId="7E2E04D4" w14:textId="27F2577A" w:rsidR="001A75F1" w:rsidRPr="00494959" w:rsidRDefault="00F7421E" w:rsidP="001A75F1">
            <w:pPr>
              <w:tabs>
                <w:tab w:val="left" w:pos="357"/>
              </w:tabs>
              <w:ind w:left="357" w:hanging="357"/>
              <w:rPr>
                <w:rFonts w:ascii="Times New Roman" w:hAnsi="Times New Roman"/>
                <w:noProof/>
                <w:sz w:val="20"/>
              </w:rPr>
            </w:pPr>
            <w:r w:rsidRPr="00494959">
              <w:rPr>
                <w:rFonts w:ascii="Times New Roman" w:hAnsi="Times New Roman"/>
                <w:noProof/>
                <w:sz w:val="20"/>
              </w:rPr>
              <w:t>Crispus / Constantinus: Söhne des Kaisers Konstantin, die im Jahr 321</w:t>
            </w:r>
            <w:r w:rsidR="005059B4" w:rsidRPr="00494959">
              <w:rPr>
                <w:rStyle w:val="Funotenzeichen"/>
                <w:rFonts w:ascii="Times New Roman" w:hAnsi="Times New Roman"/>
                <w:noProof/>
                <w:sz w:val="20"/>
              </w:rPr>
              <w:footnoteReference w:id="4"/>
            </w:r>
            <w:r w:rsidRPr="00494959">
              <w:rPr>
                <w:rFonts w:ascii="Times New Roman" w:hAnsi="Times New Roman"/>
                <w:noProof/>
                <w:sz w:val="20"/>
              </w:rPr>
              <w:t xml:space="preserve"> </w:t>
            </w:r>
            <w:r w:rsidR="00D522FC" w:rsidRPr="00494959">
              <w:rPr>
                <w:rFonts w:ascii="Times New Roman" w:hAnsi="Times New Roman"/>
                <w:noProof/>
                <w:sz w:val="20"/>
              </w:rPr>
              <w:t>zum zw</w:t>
            </w:r>
            <w:r w:rsidR="001A75F1" w:rsidRPr="00494959">
              <w:rPr>
                <w:rFonts w:ascii="Times New Roman" w:hAnsi="Times New Roman"/>
                <w:noProof/>
                <w:sz w:val="20"/>
              </w:rPr>
              <w:t>e</w:t>
            </w:r>
            <w:r w:rsidR="00D522FC" w:rsidRPr="00494959">
              <w:rPr>
                <w:rFonts w:ascii="Times New Roman" w:hAnsi="Times New Roman"/>
                <w:noProof/>
                <w:sz w:val="20"/>
              </w:rPr>
              <w:t xml:space="preserve">iten Mal (ii) </w:t>
            </w:r>
            <w:r w:rsidRPr="00494959">
              <w:rPr>
                <w:rFonts w:ascii="Times New Roman" w:hAnsi="Times New Roman"/>
                <w:noProof/>
                <w:sz w:val="20"/>
              </w:rPr>
              <w:t>Konsuln waren</w:t>
            </w:r>
            <w:r w:rsidR="001A75F1" w:rsidRPr="00494959">
              <w:rPr>
                <w:rFonts w:ascii="Times New Roman" w:hAnsi="Times New Roman"/>
                <w:noProof/>
                <w:sz w:val="20"/>
              </w:rPr>
              <w:t xml:space="preserve">. cc = Caesaribus </w:t>
            </w:r>
            <w:r w:rsidR="00421436" w:rsidRPr="00494959">
              <w:rPr>
                <w:rFonts w:ascii="Times New Roman" w:hAnsi="Times New Roman"/>
                <w:noProof/>
                <w:sz w:val="20"/>
              </w:rPr>
              <w:t xml:space="preserve">[Kaiser 2. Ordnung] </w:t>
            </w:r>
            <w:r w:rsidR="001A75F1" w:rsidRPr="00494959">
              <w:rPr>
                <w:rFonts w:ascii="Times New Roman" w:hAnsi="Times New Roman"/>
                <w:noProof/>
                <w:sz w:val="20"/>
              </w:rPr>
              <w:t>consulibus.</w:t>
            </w:r>
            <w:r w:rsidR="005059B4" w:rsidRPr="00494959">
              <w:rPr>
                <w:rFonts w:ascii="Times New Roman" w:hAnsi="Times New Roman"/>
                <w:noProof/>
                <w:sz w:val="20"/>
              </w:rPr>
              <w:t xml:space="preserve"> </w:t>
            </w:r>
          </w:p>
        </w:tc>
      </w:tr>
    </w:tbl>
    <w:p w14:paraId="03615F66" w14:textId="77777777" w:rsidR="006A377F" w:rsidRDefault="006A377F" w:rsidP="00494959">
      <w:pPr>
        <w:pStyle w:val="berschrift1"/>
        <w:spacing w:after="0"/>
        <w:rPr>
          <w:rStyle w:val="Fett"/>
          <w:b/>
          <w:bCs/>
        </w:rPr>
      </w:pPr>
    </w:p>
    <w:p w14:paraId="05DA66A3" w14:textId="77777777" w:rsidR="006A377F" w:rsidRDefault="006A377F">
      <w:pPr>
        <w:spacing w:after="0" w:line="240" w:lineRule="auto"/>
        <w:rPr>
          <w:rStyle w:val="Fett"/>
          <w:rFonts w:eastAsia="Microsoft YaHei" w:cs="Mangal"/>
          <w:color w:val="4F81BD" w:themeColor="accent1"/>
          <w:sz w:val="28"/>
          <w:szCs w:val="28"/>
        </w:rPr>
      </w:pPr>
      <w:r>
        <w:rPr>
          <w:rStyle w:val="Fett"/>
          <w:b w:val="0"/>
          <w:bCs w:val="0"/>
        </w:rPr>
        <w:br w:type="page"/>
      </w:r>
    </w:p>
    <w:p w14:paraId="0D67D3E4" w14:textId="499575F0" w:rsidR="00E22D47" w:rsidRPr="00E22D47" w:rsidRDefault="00E22D47" w:rsidP="00494959">
      <w:pPr>
        <w:pStyle w:val="berschrift1"/>
        <w:spacing w:after="0"/>
      </w:pPr>
      <w:r w:rsidRPr="00E22D47">
        <w:rPr>
          <w:rStyle w:val="Fett"/>
          <w:b/>
          <w:bCs/>
        </w:rPr>
        <w:lastRenderedPageBreak/>
        <w:t xml:space="preserve">Quellen für die </w:t>
      </w:r>
      <w:r w:rsidRPr="00D51D97">
        <w:rPr>
          <w:rStyle w:val="Fett"/>
          <w:b/>
          <w:bCs/>
        </w:rPr>
        <w:t>Erläuterungen</w:t>
      </w:r>
    </w:p>
    <w:p w14:paraId="63389676" w14:textId="77777777" w:rsidR="00E22D47" w:rsidRPr="00494959" w:rsidRDefault="00E22D47" w:rsidP="00494959">
      <w:pPr>
        <w:numPr>
          <w:ilvl w:val="0"/>
          <w:numId w:val="10"/>
        </w:numPr>
        <w:suppressAutoHyphens w:val="0"/>
        <w:autoSpaceDN/>
        <w:spacing w:before="120" w:after="0" w:line="240" w:lineRule="auto"/>
        <w:ind w:left="714" w:hanging="357"/>
        <w:textAlignment w:val="auto"/>
        <w:rPr>
          <w:sz w:val="22"/>
          <w:szCs w:val="22"/>
        </w:rPr>
      </w:pPr>
      <w:r w:rsidRPr="00494959">
        <w:rPr>
          <w:sz w:val="22"/>
          <w:szCs w:val="22"/>
        </w:rPr>
        <w:t xml:space="preserve">Eck, Werner (2011): Spurensuche: Juden im römischen Köln. In: Beiträge zur rheinisch-jüdischen Geschichte. Eine Schriftenreihe, Hg. von der Gesellschaft zur Förderung eines Hauses und Museums der jüdischen Kultur in NRW e.V., Heft 1.2011, online bei </w:t>
      </w:r>
      <w:hyperlink r:id="rId9" w:tgtFrame="_blank" w:tooltip="Werner Eck, Jüdische Geschichte Köln, PDF_Download" w:history="1">
        <w:r w:rsidRPr="00494959">
          <w:rPr>
            <w:rStyle w:val="Hyperlink"/>
            <w:sz w:val="22"/>
            <w:szCs w:val="22"/>
          </w:rPr>
          <w:t>Miqua-Freunde.koeln</w:t>
        </w:r>
      </w:hyperlink>
      <w:r w:rsidRPr="00494959">
        <w:rPr>
          <w:sz w:val="22"/>
          <w:szCs w:val="22"/>
        </w:rPr>
        <w:t xml:space="preserve"> oder über die </w:t>
      </w:r>
      <w:hyperlink r:id="rId10" w:tgtFrame="_blank" w:tooltip="Miqua Freunde Köln" w:history="1">
        <w:r w:rsidRPr="00494959">
          <w:rPr>
            <w:rStyle w:val="Hyperlink"/>
            <w:sz w:val="22"/>
            <w:szCs w:val="22"/>
          </w:rPr>
          <w:t>Downloadseite</w:t>
        </w:r>
      </w:hyperlink>
    </w:p>
    <w:p w14:paraId="0CF11565" w14:textId="77777777" w:rsidR="00E22D47" w:rsidRPr="00494959" w:rsidRDefault="00E22D47" w:rsidP="00E22D47">
      <w:pPr>
        <w:numPr>
          <w:ilvl w:val="0"/>
          <w:numId w:val="10"/>
        </w:numPr>
        <w:suppressAutoHyphens w:val="0"/>
        <w:autoSpaceDN/>
        <w:spacing w:before="100" w:beforeAutospacing="1" w:after="100" w:afterAutospacing="1" w:line="240" w:lineRule="auto"/>
        <w:textAlignment w:val="auto"/>
        <w:rPr>
          <w:sz w:val="22"/>
          <w:szCs w:val="22"/>
        </w:rPr>
      </w:pPr>
      <w:r w:rsidRPr="00494959">
        <w:rPr>
          <w:sz w:val="22"/>
          <w:szCs w:val="22"/>
        </w:rPr>
        <w:t>Eck, Werner (2017): Die Teilnahme von Juden am politisch-administrativem Leben der Selbstverwaltungsgemeinden im Westen des römischen Reiches und der Konstantinische Erlass von 321 für die CCAA (= Köln). In: Görge K. Hasselhoff, Meret Strothmann: „Religio licita?“ Rom und die Juden. (Studia Judaica 84), Berlin, Boston, S. 203 - 221.</w:t>
      </w:r>
    </w:p>
    <w:p w14:paraId="17CE8615" w14:textId="77777777" w:rsidR="00E22D47" w:rsidRPr="00494959" w:rsidRDefault="00E22D47" w:rsidP="00E22D47">
      <w:pPr>
        <w:numPr>
          <w:ilvl w:val="0"/>
          <w:numId w:val="10"/>
        </w:numPr>
        <w:suppressAutoHyphens w:val="0"/>
        <w:autoSpaceDN/>
        <w:spacing w:before="100" w:beforeAutospacing="1" w:after="100" w:afterAutospacing="1" w:line="240" w:lineRule="auto"/>
        <w:textAlignment w:val="auto"/>
        <w:rPr>
          <w:sz w:val="22"/>
          <w:szCs w:val="22"/>
        </w:rPr>
      </w:pPr>
      <w:r w:rsidRPr="00494959">
        <w:rPr>
          <w:sz w:val="22"/>
          <w:szCs w:val="22"/>
        </w:rPr>
        <w:t>Hasselhoff, Görge K.; Strothmann, Meret (2017): „Religio licita?“ Rom und die Juden. (Studia Judaica 84), Berlin, Boston.</w:t>
      </w:r>
    </w:p>
    <w:p w14:paraId="72F0C213" w14:textId="4EFF1916" w:rsidR="00EF56FA" w:rsidRDefault="00EF56FA" w:rsidP="00EF56FA">
      <w:pPr>
        <w:pStyle w:val="berschrift1"/>
      </w:pPr>
      <w:r>
        <w:t>Aufgaben</w:t>
      </w:r>
    </w:p>
    <w:p w14:paraId="791EE355" w14:textId="764EF01F" w:rsidR="00421436" w:rsidRDefault="00421436" w:rsidP="005B35B1">
      <w:pPr>
        <w:pStyle w:val="Textbody"/>
        <w:numPr>
          <w:ilvl w:val="0"/>
          <w:numId w:val="7"/>
        </w:numPr>
        <w:jc w:val="both"/>
      </w:pPr>
      <w:r w:rsidRPr="00420305">
        <w:rPr>
          <w:i/>
          <w:iCs/>
        </w:rPr>
        <w:t>Konstantin</w:t>
      </w:r>
      <w:r>
        <w:t>:</w:t>
      </w:r>
      <w:r>
        <w:rPr>
          <w:rStyle w:val="Hervorhebung"/>
        </w:rPr>
        <w:t xml:space="preserve"> </w:t>
      </w:r>
      <w:r>
        <w:t xml:space="preserve">Verwende die </w:t>
      </w:r>
      <w:hyperlink r:id="rId11" w:anchor="konstantin" w:tgtFrame="_blank" w:tooltip="Eroberung Jerusalems in der Tabelle zur römischen Geschichte" w:history="1">
        <w:r>
          <w:rPr>
            <w:rStyle w:val="Hyperlink"/>
          </w:rPr>
          <w:t>Tabelle zur römischen Geschichte</w:t>
        </w:r>
      </w:hyperlink>
      <w:r>
        <w:t>, um dich über Konstantin und seine Zeit zu informieren.</w:t>
      </w:r>
    </w:p>
    <w:p w14:paraId="2B723177" w14:textId="140E0693" w:rsidR="00EF56FA" w:rsidRDefault="00AA4D3E" w:rsidP="00AA4D3E">
      <w:pPr>
        <w:pStyle w:val="Textbody"/>
        <w:numPr>
          <w:ilvl w:val="0"/>
          <w:numId w:val="7"/>
        </w:numPr>
      </w:pPr>
      <w:r>
        <w:t xml:space="preserve">Übersetze den Text. Prüfe deine Übersetzung </w:t>
      </w:r>
      <w:r w:rsidR="00493739">
        <w:t>anhand</w:t>
      </w:r>
      <w:r>
        <w:t xml:space="preserve"> andere</w:t>
      </w:r>
      <w:r w:rsidR="00493739">
        <w:t>r</w:t>
      </w:r>
      <w:r>
        <w:t xml:space="preserve"> Übersetzungen</w:t>
      </w:r>
      <w:r w:rsidR="0006762E">
        <w:t>. Eine findest du z. B. in dem Text von Werner Eck (Quellenliste</w:t>
      </w:r>
      <w:r w:rsidR="004A0CBB">
        <w:t>, nächste Seite</w:t>
      </w:r>
      <w:r w:rsidR="0006762E">
        <w:t>).</w:t>
      </w:r>
    </w:p>
    <w:p w14:paraId="5E5E9A0A" w14:textId="1164BE67" w:rsidR="0006762E" w:rsidRDefault="0006762E" w:rsidP="00AA4D3E">
      <w:pPr>
        <w:pStyle w:val="Textbody"/>
        <w:numPr>
          <w:ilvl w:val="0"/>
          <w:numId w:val="7"/>
        </w:numPr>
      </w:pPr>
      <w:r>
        <w:t>Werner Eck stellt fest, dass es keine einzige weitere Quelle für die Existenz von jüdischen Gemeinden i</w:t>
      </w:r>
      <w:r w:rsidR="00626976">
        <w:t>m Gebiet des heutigen Deutschland</w:t>
      </w:r>
      <w:r w:rsidR="00493739">
        <w:t>s</w:t>
      </w:r>
      <w:r w:rsidR="00626976">
        <w:t xml:space="preserve"> aus der Antike gibt. Schließe hieraus auf die Bedeutung des vorliegenden Dokuments.</w:t>
      </w:r>
    </w:p>
    <w:p w14:paraId="60E93555" w14:textId="692AB6F7" w:rsidR="00493739" w:rsidRDefault="0009359A" w:rsidP="00AA4D3E">
      <w:pPr>
        <w:pStyle w:val="Textbody"/>
        <w:numPr>
          <w:ilvl w:val="0"/>
          <w:numId w:val="7"/>
        </w:numPr>
      </w:pPr>
      <w:r>
        <w:t xml:space="preserve">Fasse deine </w:t>
      </w:r>
      <w:r w:rsidR="004A0CBB">
        <w:t>Beobachtungen zusammen. So kannst du vorgehen:</w:t>
      </w:r>
    </w:p>
    <w:p w14:paraId="690B9A67" w14:textId="7BADD9D2" w:rsidR="004A0CBB" w:rsidRDefault="004A0CBB" w:rsidP="004A0CBB">
      <w:pPr>
        <w:pStyle w:val="Textbody"/>
        <w:numPr>
          <w:ilvl w:val="1"/>
          <w:numId w:val="7"/>
        </w:numPr>
      </w:pPr>
      <w:r>
        <w:t>Wenn ihr in der Klasse mit einem Moodle-Wiki arbeitet, könnt ihr eure Ergebnisse dort eintragen.</w:t>
      </w:r>
    </w:p>
    <w:p w14:paraId="578A4D31" w14:textId="1600C7BD" w:rsidR="004A0CBB" w:rsidRDefault="004A0CBB" w:rsidP="004A0CBB">
      <w:pPr>
        <w:pStyle w:val="Textbody"/>
        <w:numPr>
          <w:ilvl w:val="1"/>
          <w:numId w:val="7"/>
        </w:numPr>
      </w:pPr>
      <w:r>
        <w:t>Für die Zusammenfassung der Ergebnisse dieses Arbeitsblattes eignet sich auch ein Lernplakat, in dessen Zentrum der lateinische Text mit einer Übersetzung steht; an diesen Text fügst du dann mit Pfeilen oder anderen Symbolen einzelne Erläuterungen hinzu.</w:t>
      </w:r>
    </w:p>
    <w:p w14:paraId="4E41C073" w14:textId="7AC278BE" w:rsidR="009618CB" w:rsidRDefault="00E22D47" w:rsidP="00493DB7">
      <w:pPr>
        <w:pStyle w:val="berschrift1"/>
      </w:pPr>
      <w:r>
        <w:t xml:space="preserve">Weitere </w:t>
      </w:r>
      <w:r w:rsidR="009618CB">
        <w:t>Quelle</w:t>
      </w:r>
      <w:r w:rsidR="00493DB7">
        <w:t>n</w:t>
      </w:r>
    </w:p>
    <w:p w14:paraId="00E2556C" w14:textId="41E36165" w:rsidR="00C92E2F" w:rsidRPr="00C92E2F" w:rsidRDefault="008C3229" w:rsidP="00C92E2F">
      <w:pPr>
        <w:pStyle w:val="Textbody"/>
      </w:pPr>
      <w:r>
        <w:t>Es gibt eine Bibliographie zur Unterrichtseinheit</w:t>
      </w:r>
      <w:r w:rsidR="0006762E">
        <w:t>.</w:t>
      </w:r>
      <w:r w:rsidR="0006762E">
        <w:rPr>
          <w:rStyle w:val="Funotenzeichen"/>
        </w:rPr>
        <w:footnoteReference w:id="5"/>
      </w:r>
    </w:p>
    <w:p w14:paraId="36A9A910" w14:textId="4DB1FA9F" w:rsidR="008C3229" w:rsidRDefault="00493DB7" w:rsidP="008C3229">
      <w:pPr>
        <w:pStyle w:val="Textbody"/>
        <w:numPr>
          <w:ilvl w:val="0"/>
          <w:numId w:val="8"/>
        </w:numPr>
        <w:rPr>
          <w:rStyle w:val="showbody"/>
        </w:rPr>
      </w:pPr>
      <w:r>
        <w:t xml:space="preserve">Codex Theodosianus, Text nach </w:t>
      </w:r>
      <w:r w:rsidRPr="006A377F">
        <w:rPr>
          <w:i/>
          <w:iCs/>
        </w:rPr>
        <w:t>Latin Library</w:t>
      </w:r>
      <w:r>
        <w:t xml:space="preserve">: </w:t>
      </w:r>
      <w:hyperlink r:id="rId12" w:history="1">
        <w:r w:rsidR="006A377F" w:rsidRPr="00400DC9">
          <w:rPr>
            <w:rStyle w:val="Hyperlink"/>
          </w:rPr>
          <w:t>http://www.thelatinlibrary.com/theodosius/theod16.shtml</w:t>
        </w:r>
      </w:hyperlink>
      <w:r>
        <w:t xml:space="preserve"> </w:t>
      </w:r>
    </w:p>
    <w:p w14:paraId="37E95C49" w14:textId="1592FA3C" w:rsidR="008C3229" w:rsidRDefault="008C3229" w:rsidP="008C3229">
      <w:pPr>
        <w:suppressAutoHyphens w:val="0"/>
        <w:autoSpaceDN/>
        <w:spacing w:before="100" w:beforeAutospacing="1" w:after="100" w:afterAutospacing="1" w:line="240" w:lineRule="auto"/>
        <w:textAlignment w:val="auto"/>
      </w:pPr>
      <w:r>
        <w:t xml:space="preserve">Zur </w:t>
      </w:r>
      <w:hyperlink r:id="rId13" w:tgtFrame="_blank" w:tooltip="Eingangsseite der Unterrichtseinheit" w:history="1">
        <w:r>
          <w:rPr>
            <w:rStyle w:val="Hyperlink"/>
          </w:rPr>
          <w:t>Eingangsseite der Unterrichtseinheit</w:t>
        </w:r>
      </w:hyperlink>
      <w:r>
        <w:rPr>
          <w:rStyle w:val="Hyperlink"/>
        </w:rPr>
        <w:t xml:space="preserve"> </w:t>
      </w:r>
      <w:r w:rsidRPr="008C3229">
        <w:rPr>
          <w:rStyle w:val="Funotenzeichen"/>
        </w:rPr>
        <w:footnoteReference w:id="6"/>
      </w:r>
    </w:p>
    <w:sectPr w:rsidR="008C3229" w:rsidSect="00E5487E">
      <w:headerReference w:type="even" r:id="rId14"/>
      <w:headerReference w:type="default" r:id="rId15"/>
      <w:footerReference w:type="even" r:id="rId16"/>
      <w:footerReference w:type="default" r:id="rId17"/>
      <w:headerReference w:type="first" r:id="rId18"/>
      <w:footerReference w:type="first" r:id="rId19"/>
      <w:pgSz w:w="11906" w:h="16838" w:code="9"/>
      <w:pgMar w:top="1134" w:right="1134" w:bottom="1134" w:left="1134" w:header="284"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4F316" w14:textId="77777777" w:rsidR="00BD1F9D" w:rsidRDefault="00BD1F9D">
      <w:r>
        <w:separator/>
      </w:r>
    </w:p>
  </w:endnote>
  <w:endnote w:type="continuationSeparator" w:id="0">
    <w:p w14:paraId="203098B9" w14:textId="77777777" w:rsidR="00BD1F9D" w:rsidRDefault="00BD1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DA04A" w14:textId="77777777" w:rsidR="00213E41" w:rsidRDefault="00213E4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DD9E5" w14:textId="77777777" w:rsidR="00E5487E" w:rsidRPr="006F48A4" w:rsidRDefault="00E5487E" w:rsidP="00FD6901">
    <w:pPr>
      <w:pStyle w:val="Fuzeile"/>
      <w:widowControl w:val="0"/>
      <w:pBdr>
        <w:top w:val="single" w:sz="12" w:space="1" w:color="auto"/>
      </w:pBdr>
      <w:rPr>
        <w:sz w:val="16"/>
        <w:szCs w:val="16"/>
      </w:rPr>
    </w:pPr>
    <w:r w:rsidRPr="006F48A4">
      <w:rPr>
        <w:sz w:val="16"/>
        <w:szCs w:val="16"/>
      </w:rPr>
      <w:t>Diese Materialien sind unter der</w:t>
    </w:r>
    <w:r w:rsidR="006F48A4" w:rsidRPr="006F48A4">
      <w:rPr>
        <w:sz w:val="16"/>
        <w:szCs w:val="16"/>
      </w:rPr>
      <w:t xml:space="preserve"> </w:t>
    </w:r>
    <w:r w:rsidR="00F85569" w:rsidRPr="006F48A4">
      <w:rPr>
        <w:sz w:val="16"/>
        <w:szCs w:val="16"/>
      </w:rPr>
      <w:t>OER-konformen</w:t>
    </w:r>
    <w:r w:rsidRPr="006F48A4">
      <w:rPr>
        <w:sz w:val="16"/>
        <w:szCs w:val="16"/>
      </w:rPr>
      <w:t xml:space="preserve"> Lizenz </w:t>
    </w:r>
    <w:hyperlink r:id="rId1" w:tooltip="Öffnet die englischsprachige Seite mit dem rechtsgültigen Lizenztext in einem neuem Tab beziehungsweise Fenster." w:history="1">
      <w:r w:rsidRPr="006F48A4">
        <w:rPr>
          <w:rStyle w:val="Hyperlink"/>
          <w:sz w:val="16"/>
          <w:szCs w:val="16"/>
        </w:rPr>
        <w:t>CC BY 4.0 International</w:t>
      </w:r>
    </w:hyperlink>
    <w:r w:rsidRPr="006F48A4">
      <w:rPr>
        <w:sz w:val="16"/>
        <w:szCs w:val="16"/>
      </w:rPr>
      <w:t xml:space="preserve"> verfügbar</w:t>
    </w:r>
    <w:r w:rsidR="00E15366" w:rsidRPr="006F48A4">
      <w:rPr>
        <w:sz w:val="16"/>
        <w:szCs w:val="16"/>
      </w:rPr>
      <w:t>.</w:t>
    </w:r>
    <w:r w:rsidR="00F01EA1" w:rsidRPr="006F48A4">
      <w:rPr>
        <w:sz w:val="16"/>
        <w:szCs w:val="16"/>
      </w:rPr>
      <w:t xml:space="preserve"> </w:t>
    </w:r>
    <w:r w:rsidRPr="006F48A4">
      <w:rPr>
        <w:sz w:val="16"/>
        <w:szCs w:val="16"/>
      </w:rPr>
      <w:t>Herausgeber: Landesbildungsserver Baden-Württemberg (</w:t>
    </w:r>
    <w:hyperlink r:id="rId2" w:tooltip="Öffnet die Startseite des Landesbildungsservers Baden-Württemberg in einem neuem Tab beziehungsweise Fenster." w:history="1">
      <w:r w:rsidRPr="006F48A4">
        <w:rPr>
          <w:rStyle w:val="Hyperlink"/>
          <w:sz w:val="16"/>
          <w:szCs w:val="16"/>
        </w:rPr>
        <w:t>www.schule-bw.de</w:t>
      </w:r>
    </w:hyperlink>
    <w:r w:rsidR="00E15366" w:rsidRPr="006F48A4">
      <w:rPr>
        <w:sz w:val="16"/>
        <w:szCs w:val="16"/>
      </w:rPr>
      <w:t>)</w:t>
    </w:r>
    <w:r w:rsidR="005D2A4E">
      <w:rPr>
        <w:sz w:val="16"/>
        <w:szCs w:val="16"/>
      </w:rPr>
      <w:t>, Fachredaktion Griechisch</w:t>
    </w:r>
    <w:r w:rsidR="00E15366" w:rsidRPr="006F48A4">
      <w:rPr>
        <w:sz w:val="16"/>
        <w:szCs w:val="16"/>
      </w:rPr>
      <w:t>.</w:t>
    </w:r>
    <w:r w:rsidR="00F01EA1" w:rsidRPr="006F48A4">
      <w:rPr>
        <w:sz w:val="16"/>
        <w:szCs w:val="16"/>
      </w:rPr>
      <w:t xml:space="preserve"> </w:t>
    </w:r>
    <w:r w:rsidR="001502C2" w:rsidRPr="006F48A4">
      <w:rPr>
        <w:sz w:val="16"/>
        <w:szCs w:val="16"/>
      </w:rPr>
      <w:t xml:space="preserve">Urheberrechtsangaben gemäß </w:t>
    </w:r>
    <w:hyperlink r:id="rId3" w:tooltip="Öffnet die Seite &quot;Urheberrechtliche Hinweise&quot; auf dem Landesbildungsserver Baden-Württemberg in einem neuen Tab beziehungsweise Fenster." w:history="1">
      <w:r w:rsidR="001502C2" w:rsidRPr="006F48A4">
        <w:rPr>
          <w:rStyle w:val="Hyperlink"/>
          <w:sz w:val="16"/>
          <w:szCs w:val="16"/>
        </w:rPr>
        <w:t>www.schule-bw.de/urheberrecht</w:t>
      </w:r>
    </w:hyperlink>
    <w:r w:rsidR="001502C2" w:rsidRPr="006F48A4">
      <w:rPr>
        <w:sz w:val="16"/>
        <w:szCs w:val="16"/>
      </w:rPr>
      <w:t xml:space="preserve"> </w:t>
    </w:r>
    <w:r w:rsidR="00FD6901">
      <w:rPr>
        <w:sz w:val="16"/>
        <w:szCs w:val="16"/>
      </w:rPr>
      <w:t>sind zu beachten</w:t>
    </w:r>
    <w:r w:rsidR="001502C2" w:rsidRPr="006F48A4">
      <w:rPr>
        <w:sz w:val="16"/>
        <w:szCs w:val="16"/>
      </w:rPr>
      <w:t>.</w:t>
    </w:r>
    <w:r w:rsidR="001502C2">
      <w:rPr>
        <w:sz w:val="16"/>
        <w:szCs w:val="16"/>
      </w:rPr>
      <w:t xml:space="preserve"> </w:t>
    </w:r>
    <w:r w:rsidRPr="006F48A4">
      <w:rPr>
        <w:sz w:val="16"/>
        <w:szCs w:val="16"/>
      </w:rPr>
      <w:t xml:space="preserve">Bitte beachten Sie eventuell abweichende Lizenzangaben bei den eingebundenen Bildern und anderen </w:t>
    </w:r>
    <w:r w:rsidR="003D332C" w:rsidRPr="006F48A4">
      <w:rPr>
        <w:sz w:val="16"/>
        <w:szCs w:val="16"/>
      </w:rPr>
      <w:t>Materialien</w:t>
    </w:r>
    <w:r w:rsidRPr="006F48A4">
      <w:rPr>
        <w:sz w:val="16"/>
        <w:szCs w:val="16"/>
      </w:rPr>
      <w:t>.</w:t>
    </w:r>
  </w:p>
  <w:p w14:paraId="2F1CD8D8" w14:textId="77777777" w:rsidR="00301860" w:rsidRPr="00E15366" w:rsidRDefault="007F63E6" w:rsidP="007F63E6">
    <w:pPr>
      <w:pStyle w:val="Fuzeile"/>
      <w:widowControl w:val="0"/>
      <w:pBdr>
        <w:top w:val="single" w:sz="12" w:space="1" w:color="auto"/>
      </w:pBdr>
      <w:jc w:val="center"/>
      <w:rPr>
        <w:sz w:val="20"/>
        <w:szCs w:val="16"/>
      </w:rPr>
    </w:pPr>
    <w:r>
      <w:rPr>
        <w:sz w:val="20"/>
        <w:szCs w:val="16"/>
      </w:rPr>
      <w:t>Seite </w:t>
    </w:r>
    <w:r>
      <w:rPr>
        <w:sz w:val="20"/>
        <w:szCs w:val="16"/>
      </w:rPr>
      <w:fldChar w:fldCharType="begin"/>
    </w:r>
    <w:r>
      <w:rPr>
        <w:sz w:val="20"/>
        <w:szCs w:val="16"/>
      </w:rPr>
      <w:instrText xml:space="preserve"> PAGE  \* Arabic  \* MERGEFORMAT </w:instrText>
    </w:r>
    <w:r>
      <w:rPr>
        <w:sz w:val="20"/>
        <w:szCs w:val="16"/>
      </w:rPr>
      <w:fldChar w:fldCharType="separate"/>
    </w:r>
    <w:r w:rsidR="00F771BC">
      <w:rPr>
        <w:noProof/>
        <w:sz w:val="20"/>
        <w:szCs w:val="16"/>
      </w:rPr>
      <w:t>1</w:t>
    </w:r>
    <w:r>
      <w:rPr>
        <w:sz w:val="20"/>
        <w:szCs w:val="16"/>
      </w:rPr>
      <w:fldChar w:fldCharType="end"/>
    </w:r>
    <w:r>
      <w:rPr>
        <w:sz w:val="20"/>
        <w:szCs w:val="16"/>
      </w:rPr>
      <w:t xml:space="preserve"> von </w:t>
    </w:r>
    <w:r>
      <w:rPr>
        <w:sz w:val="20"/>
        <w:szCs w:val="16"/>
      </w:rPr>
      <w:fldChar w:fldCharType="begin"/>
    </w:r>
    <w:r>
      <w:rPr>
        <w:sz w:val="20"/>
        <w:szCs w:val="16"/>
      </w:rPr>
      <w:instrText xml:space="preserve"> NUMPAGES  \* Arabic  \* MERGEFORMAT </w:instrText>
    </w:r>
    <w:r>
      <w:rPr>
        <w:sz w:val="20"/>
        <w:szCs w:val="16"/>
      </w:rPr>
      <w:fldChar w:fldCharType="separate"/>
    </w:r>
    <w:r w:rsidR="00F771BC">
      <w:rPr>
        <w:noProof/>
        <w:sz w:val="20"/>
        <w:szCs w:val="16"/>
      </w:rPr>
      <w:t>1</w:t>
    </w:r>
    <w:r>
      <w:rPr>
        <w:sz w:val="20"/>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DD0A3" w14:textId="77777777" w:rsidR="00213E41" w:rsidRDefault="00213E4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DD97B" w14:textId="77777777" w:rsidR="00BD1F9D" w:rsidRDefault="00BD1F9D">
      <w:r>
        <w:rPr>
          <w:color w:val="000000"/>
        </w:rPr>
        <w:separator/>
      </w:r>
    </w:p>
  </w:footnote>
  <w:footnote w:type="continuationSeparator" w:id="0">
    <w:p w14:paraId="5C39DC0B" w14:textId="77777777" w:rsidR="00BD1F9D" w:rsidRDefault="00BD1F9D">
      <w:r>
        <w:continuationSeparator/>
      </w:r>
    </w:p>
  </w:footnote>
  <w:footnote w:id="1">
    <w:p w14:paraId="19F2E6C4" w14:textId="7525904F" w:rsidR="001A75F1" w:rsidRDefault="001A75F1">
      <w:pPr>
        <w:pStyle w:val="Funotentext"/>
      </w:pPr>
      <w:r>
        <w:rPr>
          <w:rStyle w:val="Funotenzeichen"/>
        </w:rPr>
        <w:footnoteRef/>
      </w:r>
      <w:r>
        <w:t xml:space="preserve"> </w:t>
      </w:r>
      <w:r>
        <w:rPr>
          <w:rStyle w:val="Hervorhebung"/>
        </w:rPr>
        <w:t>Agrippinienses</w:t>
      </w:r>
      <w:r>
        <w:t xml:space="preserve">: der römische Name für Köln lautete </w:t>
      </w:r>
      <w:r>
        <w:rPr>
          <w:rStyle w:val="Hervorhebung"/>
        </w:rPr>
        <w:t>Colonia Claudia Ara Agrippiniensium</w:t>
      </w:r>
      <w:r>
        <w:rPr>
          <w:rStyle w:val="Hervorhebung"/>
        </w:rPr>
        <w:t>.</w:t>
      </w:r>
    </w:p>
  </w:footnote>
  <w:footnote w:id="2">
    <w:p w14:paraId="359F31D7" w14:textId="21E996DD" w:rsidR="00FF4B7F" w:rsidRDefault="00FF4B7F" w:rsidP="00D51D97">
      <w:pPr>
        <w:pStyle w:val="Funotentext"/>
      </w:pPr>
      <w:r>
        <w:rPr>
          <w:rStyle w:val="Funotenzeichen"/>
        </w:rPr>
        <w:footnoteRef/>
      </w:r>
      <w:r>
        <w:t xml:space="preserve"> </w:t>
      </w:r>
      <w:r w:rsidRPr="00FF4B7F">
        <w:t>Ursprünglich war ōrdō eine Bezeichnung für einen gesellschaftlichen Stand, dann auch für den Senat von Rom. Diese Bedeutung wird hier auf alle Stadträte (im Sinne von Stadtrat als Gremium, also Stadtverwaltungen) übertragen.</w:t>
      </w:r>
    </w:p>
  </w:footnote>
  <w:footnote w:id="3">
    <w:p w14:paraId="27FD89C9" w14:textId="194D5DC6" w:rsidR="00161790" w:rsidRDefault="00161790" w:rsidP="00D51D97">
      <w:pPr>
        <w:suppressAutoHyphens w:val="0"/>
        <w:autoSpaceDN/>
        <w:spacing w:after="0" w:line="240" w:lineRule="auto"/>
        <w:textAlignment w:val="auto"/>
      </w:pPr>
      <w:r>
        <w:rPr>
          <w:rStyle w:val="Funotenzeichen"/>
        </w:rPr>
        <w:footnoteRef/>
      </w:r>
      <w:r>
        <w:t xml:space="preserve"> </w:t>
      </w:r>
      <w:r w:rsidRPr="00161790">
        <w:rPr>
          <w:sz w:val="20"/>
        </w:rPr>
        <w:t xml:space="preserve">Eck, Werner (2011): Spurensuche: Juden im römischen Köln. In: Beiträge zur rheinisch-jüdischen Geschichte. Eine Schriftenreihe, Hg. von der Gesellschaft zur Förderung eines Hauses und Museums der jüdischen Kultur in NRW e.V., Heft 1.2011, online bei </w:t>
      </w:r>
      <w:hyperlink r:id="rId1" w:tgtFrame="_blank" w:tooltip="Werner Eck, Jüdische Geschichte Köln, PDF_Download" w:history="1">
        <w:r w:rsidRPr="00161790">
          <w:rPr>
            <w:rStyle w:val="Hyperlink"/>
            <w:sz w:val="20"/>
          </w:rPr>
          <w:t>Miqua-Freunde.koeln</w:t>
        </w:r>
      </w:hyperlink>
      <w:r w:rsidRPr="00161790">
        <w:rPr>
          <w:sz w:val="20"/>
        </w:rPr>
        <w:t xml:space="preserve"> oder über die </w:t>
      </w:r>
      <w:hyperlink r:id="rId2" w:tgtFrame="_blank" w:tooltip="Miqua Freunde Köln" w:history="1">
        <w:r w:rsidRPr="00161790">
          <w:rPr>
            <w:rStyle w:val="Hyperlink"/>
            <w:sz w:val="20"/>
          </w:rPr>
          <w:t>Downloadseite</w:t>
        </w:r>
      </w:hyperlink>
      <w:r w:rsidR="00FF4B7F">
        <w:rPr>
          <w:rStyle w:val="Hyperlink"/>
          <w:sz w:val="20"/>
        </w:rPr>
        <w:t>.</w:t>
      </w:r>
    </w:p>
  </w:footnote>
  <w:footnote w:id="4">
    <w:p w14:paraId="1712B0CD" w14:textId="21EE43F2" w:rsidR="005059B4" w:rsidRDefault="005059B4">
      <w:pPr>
        <w:pStyle w:val="Funotentext"/>
      </w:pPr>
      <w:r>
        <w:rPr>
          <w:rStyle w:val="Funotenzeichen"/>
        </w:rPr>
        <w:footnoteRef/>
      </w:r>
      <w:r>
        <w:t xml:space="preserve"> </w:t>
      </w:r>
      <w:r w:rsidRPr="009E73D5">
        <w:t>Bis in die Spätantike wurde anstatt Jahreszahlen die Konsuln genannt, die in dem Jahr regierten.</w:t>
      </w:r>
    </w:p>
  </w:footnote>
  <w:footnote w:id="5">
    <w:p w14:paraId="4B1C3961" w14:textId="26489BF0" w:rsidR="0006762E" w:rsidRDefault="0006762E">
      <w:pPr>
        <w:pStyle w:val="Funotentext"/>
      </w:pPr>
      <w:r>
        <w:rPr>
          <w:rStyle w:val="Funotenzeichen"/>
        </w:rPr>
        <w:footnoteRef/>
      </w:r>
      <w:r>
        <w:t xml:space="preserve"> </w:t>
      </w:r>
      <w:r w:rsidRPr="008C3229">
        <w:rPr>
          <w:sz w:val="18"/>
          <w:szCs w:val="18"/>
        </w:rPr>
        <w:t xml:space="preserve"> </w:t>
      </w:r>
      <w:hyperlink r:id="rId3" w:history="1">
        <w:r w:rsidRPr="00825A35">
          <w:rPr>
            <w:rStyle w:val="Hyperlink"/>
            <w:sz w:val="18"/>
            <w:szCs w:val="18"/>
          </w:rPr>
          <w:t>www.schule-bw.de/faecher-und-schularten/sprachen-und-literatur/latein/informationen-zum-fach/bibliographien/bibliographie-roemische-geschichte.html</w:t>
        </w:r>
      </w:hyperlink>
      <w:r>
        <w:rPr>
          <w:sz w:val="18"/>
          <w:szCs w:val="18"/>
        </w:rPr>
        <w:t xml:space="preserve"> </w:t>
      </w:r>
    </w:p>
  </w:footnote>
  <w:footnote w:id="6">
    <w:p w14:paraId="07ED4F91" w14:textId="3CFF6A63" w:rsidR="008C3229" w:rsidRPr="008C3229" w:rsidRDefault="008C3229" w:rsidP="008C3229">
      <w:pPr>
        <w:pStyle w:val="Textbody"/>
        <w:rPr>
          <w:sz w:val="18"/>
          <w:szCs w:val="18"/>
        </w:rPr>
      </w:pPr>
      <w:r w:rsidRPr="008C3229">
        <w:rPr>
          <w:rStyle w:val="Funotenzeichen"/>
          <w:sz w:val="18"/>
          <w:szCs w:val="18"/>
        </w:rPr>
        <w:footnoteRef/>
      </w:r>
      <w:r w:rsidRPr="008C3229">
        <w:rPr>
          <w:sz w:val="18"/>
          <w:szCs w:val="18"/>
        </w:rPr>
        <w:t xml:space="preserve"> </w:t>
      </w:r>
      <w:hyperlink r:id="rId4" w:history="1">
        <w:r w:rsidR="0006762E" w:rsidRPr="00825A35">
          <w:rPr>
            <w:rStyle w:val="Hyperlink"/>
            <w:sz w:val="18"/>
            <w:szCs w:val="18"/>
          </w:rPr>
          <w:t>www.schule-bw.de/faecher-und-schularten/sprachen-und-literatur/latein/antike-kultur</w:t>
        </w:r>
      </w:hyperlink>
      <w:r w:rsidRPr="008C3229">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46DF8" w14:textId="77777777" w:rsidR="00213E41" w:rsidRDefault="00213E4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6D001" w14:textId="77777777" w:rsidR="008E533C" w:rsidRDefault="008E533C" w:rsidP="008E533C">
    <w:pPr>
      <w:pStyle w:val="Kopfzeile"/>
      <w:spacing w:after="720"/>
      <w:ind w:left="142"/>
    </w:pPr>
    <w:r>
      <w:rPr>
        <w:noProof/>
        <w:lang w:bidi="lo-LA"/>
      </w:rPr>
      <mc:AlternateContent>
        <mc:Choice Requires="wps">
          <w:drawing>
            <wp:anchor distT="0" distB="0" distL="114300" distR="114300" simplePos="0" relativeHeight="251659264" behindDoc="1" locked="0" layoutInCell="1" allowOverlap="1" wp14:anchorId="4B86961F" wp14:editId="053A025A">
              <wp:simplePos x="0" y="0"/>
              <wp:positionH relativeFrom="column">
                <wp:posOffset>356760</wp:posOffset>
              </wp:positionH>
              <wp:positionV relativeFrom="paragraph">
                <wp:posOffset>224640</wp:posOffset>
              </wp:positionV>
              <wp:extent cx="1783800" cy="450720"/>
              <wp:effectExtent l="0" t="0" r="0" b="0"/>
              <wp:wrapNone/>
              <wp:docPr id="5" name="Rahmen2"/>
              <wp:cNvGraphicFramePr/>
              <a:graphic xmlns:a="http://schemas.openxmlformats.org/drawingml/2006/main">
                <a:graphicData uri="http://schemas.microsoft.com/office/word/2010/wordprocessingShape">
                  <wps:wsp>
                    <wps:cNvSpPr txBox="1"/>
                    <wps:spPr>
                      <a:xfrm>
                        <a:off x="0" y="0"/>
                        <a:ext cx="1783800" cy="450720"/>
                      </a:xfrm>
                      <a:prstGeom prst="rect">
                        <a:avLst/>
                      </a:prstGeom>
                      <a:ln>
                        <a:noFill/>
                        <a:prstDash/>
                      </a:ln>
                    </wps:spPr>
                    <wps:txbx>
                      <w:txbxContent>
                        <w:p w14:paraId="1A91C7B3" w14:textId="77777777" w:rsidR="008E533C" w:rsidRDefault="008E533C" w:rsidP="008E533C">
                          <w:pPr>
                            <w:pStyle w:val="Framecontents"/>
                          </w:pPr>
                          <w:r>
                            <w:rPr>
                              <w:rFonts w:ascii="Calibri Light" w:hAnsi="Calibri Light" w:cs="Calibri Light"/>
                              <w:b/>
                              <w:szCs w:val="36"/>
                            </w:rPr>
                            <w:t>LANDESBILDUNGSSERVER</w:t>
                          </w:r>
                          <w:r>
                            <w:rPr>
                              <w:rFonts w:ascii="Calibri Light" w:hAnsi="Calibri Light" w:cs="Calibri Light"/>
                              <w:b/>
                              <w:sz w:val="10"/>
                              <w:szCs w:val="38"/>
                            </w:rPr>
                            <w:br/>
                          </w:r>
                          <w:r>
                            <w:rPr>
                              <w:rFonts w:ascii="Calibri Light" w:hAnsi="Calibri Light" w:cs="Calibri Light"/>
                              <w:sz w:val="16"/>
                              <w:szCs w:val="16"/>
                            </w:rPr>
                            <w:t>Baden-Württemberg</w:t>
                          </w:r>
                        </w:p>
                      </w:txbxContent>
                    </wps:txbx>
                    <wps:bodyPr wrap="none" lIns="91440" tIns="45720" rIns="91440" bIns="45720" anchor="t" compatLnSpc="0"/>
                  </wps:wsp>
                </a:graphicData>
              </a:graphic>
            </wp:anchor>
          </w:drawing>
        </mc:Choice>
        <mc:Fallback>
          <w:pict>
            <v:shapetype w14:anchorId="4B86961F" id="_x0000_t202" coordsize="21600,21600" o:spt="202" path="m,l,21600r21600,l21600,xe">
              <v:stroke joinstyle="miter"/>
              <v:path gradientshapeok="t" o:connecttype="rect"/>
            </v:shapetype>
            <v:shape id="Rahmen2" o:spid="_x0000_s1026" type="#_x0000_t202" style="position:absolute;left:0;text-align:left;margin-left:28.1pt;margin-top:17.7pt;width:140.45pt;height:35.5pt;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" filled="f" stroked="f">
              <v:textbox>
                <w:txbxContent>
                  <w:p w14:paraId="1A91C7B3" w14:textId="77777777" w:rsidR="008E533C" w:rsidRDefault="008E533C" w:rsidP="008E533C">
                    <w:pPr>
                      <w:pStyle w:val="Framecontents"/>
                    </w:pPr>
                    <w:r>
                      <w:rPr>
                        <w:rFonts w:ascii="Calibri Light" w:hAnsi="Calibri Light" w:cs="Calibri Light"/>
                        <w:b/>
                        <w:szCs w:val="36"/>
                      </w:rPr>
                      <w:t>LANDESBILDUNGSSERVER</w:t>
                    </w:r>
                    <w:r>
                      <w:rPr>
                        <w:rFonts w:ascii="Calibri Light" w:hAnsi="Calibri Light" w:cs="Calibri Light"/>
                        <w:b/>
                        <w:sz w:val="10"/>
                        <w:szCs w:val="38"/>
                      </w:rPr>
                      <w:br/>
                    </w:r>
                    <w:r>
                      <w:rPr>
                        <w:rFonts w:ascii="Calibri Light" w:hAnsi="Calibri Light" w:cs="Calibri Light"/>
                        <w:sz w:val="16"/>
                        <w:szCs w:val="16"/>
                      </w:rPr>
                      <w:t>Baden-Württemberg</w:t>
                    </w:r>
                  </w:p>
                </w:txbxContent>
              </v:textbox>
            </v:shape>
          </w:pict>
        </mc:Fallback>
      </mc:AlternateContent>
    </w:r>
    <w:r>
      <w:rPr>
        <w:noProof/>
        <w:lang w:bidi="lo-LA"/>
      </w:rPr>
      <w:drawing>
        <wp:anchor distT="0" distB="0" distL="114300" distR="114300" simplePos="0" relativeHeight="251662336" behindDoc="1" locked="0" layoutInCell="1" allowOverlap="1" wp14:anchorId="1D78D711" wp14:editId="3FDF6CA2">
          <wp:simplePos x="0" y="0"/>
          <wp:positionH relativeFrom="column">
            <wp:posOffset>2646000</wp:posOffset>
          </wp:positionH>
          <wp:positionV relativeFrom="page">
            <wp:posOffset>236160</wp:posOffset>
          </wp:positionV>
          <wp:extent cx="396360" cy="554400"/>
          <wp:effectExtent l="0" t="0" r="3690" b="0"/>
          <wp:wrapNone/>
          <wp:docPr id="1" name="3">
            <a:hlinkClick xmlns:a="http://schemas.openxmlformats.org/drawingml/2006/main" r:id="rId1" tooltip="Öffnet die Startseite des Ministeriums für Kultus, Jugend und Sport Baden-Württemberg in einem neuem Tab beziehungsweise Fenster."/>
          </wp:docP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396360" cy="554400"/>
                  </a:xfrm>
                  <a:prstGeom prst="rect">
                    <a:avLst/>
                  </a:prstGeom>
                  <a:noFill/>
                  <a:ln>
                    <a:noFill/>
                    <a:prstDash/>
                  </a:ln>
                </pic:spPr>
              </pic:pic>
            </a:graphicData>
          </a:graphic>
        </wp:anchor>
      </w:drawing>
    </w:r>
    <w:r>
      <w:rPr>
        <w:noProof/>
        <w:lang w:bidi="lo-LA"/>
      </w:rPr>
      <w:drawing>
        <wp:anchor distT="0" distB="0" distL="114300" distR="114300" simplePos="0" relativeHeight="251660288" behindDoc="0" locked="0" layoutInCell="1" allowOverlap="1" wp14:anchorId="79576B4C" wp14:editId="510A4839">
          <wp:simplePos x="0" y="0"/>
          <wp:positionH relativeFrom="column">
            <wp:posOffset>-49680</wp:posOffset>
          </wp:positionH>
          <wp:positionV relativeFrom="paragraph">
            <wp:posOffset>208800</wp:posOffset>
          </wp:positionV>
          <wp:extent cx="468000" cy="450720"/>
          <wp:effectExtent l="0" t="0" r="8250" b="6480"/>
          <wp:wrapSquare wrapText="bothSides"/>
          <wp:docPr id="2" name="2">
            <a:hlinkClick xmlns:a="http://schemas.openxmlformats.org/drawingml/2006/main" r:id="rId3" tooltip="Öffnet die Startseite des Landesbildungsservers Baden-Württemberg in einem neuem Tab beziehungsweise Fenster."/>
          </wp:docP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cstate="print">
                    <a:lum/>
                    <a:alphaModFix/>
                    <a:extLst>
                      <a:ext uri="{28A0092B-C50C-407E-A947-70E740481C1C}">
                        <a14:useLocalDpi xmlns:a14="http://schemas.microsoft.com/office/drawing/2010/main"/>
                      </a:ext>
                    </a:extLst>
                  </a:blip>
                  <a:srcRect l="2445" t="9199" r="69687" b="6427"/>
                  <a:stretch>
                    <a:fillRect/>
                  </a:stretch>
                </pic:blipFill>
                <pic:spPr>
                  <a:xfrm>
                    <a:off x="0" y="0"/>
                    <a:ext cx="468000" cy="450720"/>
                  </a:xfrm>
                  <a:prstGeom prst="rect">
                    <a:avLst/>
                  </a:prstGeom>
                  <a:noFill/>
                  <a:ln>
                    <a:noFill/>
                    <a:prstDash/>
                  </a:ln>
                </pic:spPr>
              </pic:pic>
            </a:graphicData>
          </a:graphic>
        </wp:anchor>
      </w:drawing>
    </w:r>
    <w:r>
      <w:rPr>
        <w:noProof/>
        <w:lang w:bidi="lo-LA"/>
      </w:rPr>
      <w:drawing>
        <wp:anchor distT="0" distB="0" distL="114300" distR="114300" simplePos="0" relativeHeight="251661312" behindDoc="0" locked="0" layoutInCell="1" allowOverlap="1" wp14:anchorId="378CA99A" wp14:editId="5F801DF6">
          <wp:simplePos x="0" y="0"/>
          <wp:positionH relativeFrom="column">
            <wp:posOffset>4427279</wp:posOffset>
          </wp:positionH>
          <wp:positionV relativeFrom="paragraph">
            <wp:posOffset>113760</wp:posOffset>
          </wp:positionV>
          <wp:extent cx="1634400" cy="570240"/>
          <wp:effectExtent l="0" t="0" r="3900" b="1260"/>
          <wp:wrapSquare wrapText="bothSides"/>
          <wp:docPr id="3" name="1">
            <a:hlinkClick xmlns:a="http://schemas.openxmlformats.org/drawingml/2006/main" r:id="rId5" tooltip="Öffnet die Startseite des Instituts für Bildungsanalysen Baden-Württemberg in einem neuem Tab beziehungsweise Fenster."/>
          </wp:docP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lum/>
                    <a:alphaModFix/>
                    <a:extLst>
                      <a:ext uri="{28A0092B-C50C-407E-A947-70E740481C1C}">
                        <a14:useLocalDpi xmlns:a14="http://schemas.microsoft.com/office/drawing/2010/main"/>
                      </a:ext>
                    </a:extLst>
                  </a:blip>
                  <a:srcRect l="6217" t="13964" r="6417" b="13964"/>
                  <a:stretch>
                    <a:fillRect/>
                  </a:stretch>
                </pic:blipFill>
                <pic:spPr>
                  <a:xfrm>
                    <a:off x="0" y="0"/>
                    <a:ext cx="1634400" cy="570240"/>
                  </a:xfrm>
                  <a:prstGeom prst="rect">
                    <a:avLst/>
                  </a:prstGeom>
                  <a:noFill/>
                  <a:ln>
                    <a:noFill/>
                    <a:prstDash/>
                  </a:ln>
                </pic:spPr>
              </pic:pic>
            </a:graphicData>
          </a:graphic>
        </wp:anchor>
      </w:drawing>
    </w:r>
  </w:p>
  <w:p w14:paraId="3B6CA966" w14:textId="1BC13E4F" w:rsidR="001606BD" w:rsidRPr="008E533C" w:rsidRDefault="008E533C">
    <w:pPr>
      <w:pStyle w:val="Kopfzeile"/>
      <w:pBdr>
        <w:bottom w:val="single" w:sz="4" w:space="1" w:color="000000"/>
      </w:pBdr>
      <w:rPr>
        <w:sz w:val="8"/>
        <w:szCs w:val="8"/>
      </w:rPr>
    </w:pPr>
    <w:r>
      <w:rPr>
        <w:sz w:val="8"/>
        <w:szCs w:val="8"/>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1956C" w14:textId="77777777" w:rsidR="00213E41" w:rsidRDefault="00213E4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806E5"/>
    <w:multiLevelType w:val="hybridMultilevel"/>
    <w:tmpl w:val="792603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8A72A85"/>
    <w:multiLevelType w:val="multilevel"/>
    <w:tmpl w:val="F82E7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A67A65"/>
    <w:multiLevelType w:val="hybridMultilevel"/>
    <w:tmpl w:val="9CD8736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9DB52B9"/>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2701662"/>
    <w:multiLevelType w:val="hybridMultilevel"/>
    <w:tmpl w:val="A96403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AFC5CA2"/>
    <w:multiLevelType w:val="multilevel"/>
    <w:tmpl w:val="094C2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E241E1"/>
    <w:multiLevelType w:val="multilevel"/>
    <w:tmpl w:val="25BAC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EC479D"/>
    <w:multiLevelType w:val="multilevel"/>
    <w:tmpl w:val="1E200D38"/>
    <w:styleLink w:val="WWNum2"/>
    <w:lvl w:ilvl="0">
      <w:numFmt w:val="bullet"/>
      <w:lvlText w:val=""/>
      <w:lvlJc w:val="left"/>
      <w:rPr>
        <w:rFonts w:ascii="Symbol" w:hAnsi="Symbol"/>
        <w:b w:val="0"/>
        <w:bCs w:val="0"/>
        <w:i w:val="0"/>
        <w:iCs w:val="0"/>
        <w:caps w:val="0"/>
        <w:smallCaps w:val="0"/>
        <w:strike w:val="0"/>
        <w:dstrike w:val="0"/>
        <w:color w:val="000000"/>
        <w:spacing w:val="0"/>
        <w:w w:val="100"/>
        <w:sz w:val="22"/>
        <w:szCs w:val="22"/>
        <w:u w:val="none"/>
        <w:lang w:val="en-US" w:eastAsia="en-US" w:bidi="en-U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6F613BEC"/>
    <w:multiLevelType w:val="multilevel"/>
    <w:tmpl w:val="319A5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7"/>
  </w:num>
  <w:num w:numId="3">
    <w:abstractNumId w:val="3"/>
  </w:num>
  <w:num w:numId="4">
    <w:abstractNumId w:val="6"/>
  </w:num>
  <w:num w:numId="5">
    <w:abstractNumId w:val="8"/>
  </w:num>
  <w:num w:numId="6">
    <w:abstractNumId w:val="4"/>
  </w:num>
  <w:num w:numId="7">
    <w:abstractNumId w:val="2"/>
  </w:num>
  <w:num w:numId="8">
    <w:abstractNumId w:val="0"/>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attachedTemplate r:id="rId1"/>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C03"/>
    <w:rsid w:val="000029CA"/>
    <w:rsid w:val="0001245B"/>
    <w:rsid w:val="00020330"/>
    <w:rsid w:val="00021B0A"/>
    <w:rsid w:val="0006762E"/>
    <w:rsid w:val="0009359A"/>
    <w:rsid w:val="000C75F4"/>
    <w:rsid w:val="000F11FF"/>
    <w:rsid w:val="00110CBC"/>
    <w:rsid w:val="001502C2"/>
    <w:rsid w:val="0016008F"/>
    <w:rsid w:val="00161790"/>
    <w:rsid w:val="00163CD8"/>
    <w:rsid w:val="001718B9"/>
    <w:rsid w:val="001916A2"/>
    <w:rsid w:val="001A75F1"/>
    <w:rsid w:val="001D3841"/>
    <w:rsid w:val="00203393"/>
    <w:rsid w:val="00213E41"/>
    <w:rsid w:val="00230483"/>
    <w:rsid w:val="0023656E"/>
    <w:rsid w:val="0024018B"/>
    <w:rsid w:val="002413FE"/>
    <w:rsid w:val="00257934"/>
    <w:rsid w:val="0026425C"/>
    <w:rsid w:val="00271B87"/>
    <w:rsid w:val="00287703"/>
    <w:rsid w:val="002B5FFA"/>
    <w:rsid w:val="002C2F5B"/>
    <w:rsid w:val="002E465A"/>
    <w:rsid w:val="002F2145"/>
    <w:rsid w:val="00301860"/>
    <w:rsid w:val="00302A4B"/>
    <w:rsid w:val="00312FD7"/>
    <w:rsid w:val="003466E8"/>
    <w:rsid w:val="00352256"/>
    <w:rsid w:val="00374B21"/>
    <w:rsid w:val="0038739A"/>
    <w:rsid w:val="00390FFF"/>
    <w:rsid w:val="00394C0F"/>
    <w:rsid w:val="003C2AEE"/>
    <w:rsid w:val="003D332C"/>
    <w:rsid w:val="003D4AED"/>
    <w:rsid w:val="003E3562"/>
    <w:rsid w:val="00403A78"/>
    <w:rsid w:val="004053F3"/>
    <w:rsid w:val="00420305"/>
    <w:rsid w:val="00421436"/>
    <w:rsid w:val="00460FBF"/>
    <w:rsid w:val="004930F1"/>
    <w:rsid w:val="00493739"/>
    <w:rsid w:val="00493DB7"/>
    <w:rsid w:val="00494959"/>
    <w:rsid w:val="004A0CBB"/>
    <w:rsid w:val="004B5081"/>
    <w:rsid w:val="004D3DDF"/>
    <w:rsid w:val="004D6FF6"/>
    <w:rsid w:val="004E1888"/>
    <w:rsid w:val="004E28B6"/>
    <w:rsid w:val="005059B4"/>
    <w:rsid w:val="00506DDF"/>
    <w:rsid w:val="00513E1E"/>
    <w:rsid w:val="00556881"/>
    <w:rsid w:val="00563EE3"/>
    <w:rsid w:val="00570BCA"/>
    <w:rsid w:val="005937A4"/>
    <w:rsid w:val="005B168E"/>
    <w:rsid w:val="005B35B1"/>
    <w:rsid w:val="005B44E1"/>
    <w:rsid w:val="005B4BF9"/>
    <w:rsid w:val="005B6F27"/>
    <w:rsid w:val="005C6DCB"/>
    <w:rsid w:val="005D2A4E"/>
    <w:rsid w:val="005F056F"/>
    <w:rsid w:val="00621CA7"/>
    <w:rsid w:val="00626976"/>
    <w:rsid w:val="0063216C"/>
    <w:rsid w:val="006A377F"/>
    <w:rsid w:val="006B65C8"/>
    <w:rsid w:val="006C5E5A"/>
    <w:rsid w:val="006F48A4"/>
    <w:rsid w:val="00714A80"/>
    <w:rsid w:val="00715E7E"/>
    <w:rsid w:val="00771BE5"/>
    <w:rsid w:val="007C0486"/>
    <w:rsid w:val="007C2E6A"/>
    <w:rsid w:val="007E6C03"/>
    <w:rsid w:val="007F5EBD"/>
    <w:rsid w:val="007F63E6"/>
    <w:rsid w:val="008029E6"/>
    <w:rsid w:val="0082147A"/>
    <w:rsid w:val="00827591"/>
    <w:rsid w:val="0082796E"/>
    <w:rsid w:val="00841BEE"/>
    <w:rsid w:val="00882A7D"/>
    <w:rsid w:val="008A1D32"/>
    <w:rsid w:val="008C0EC6"/>
    <w:rsid w:val="008C3229"/>
    <w:rsid w:val="008D20A0"/>
    <w:rsid w:val="008E524C"/>
    <w:rsid w:val="008E533C"/>
    <w:rsid w:val="00910B00"/>
    <w:rsid w:val="00924F0C"/>
    <w:rsid w:val="009618CB"/>
    <w:rsid w:val="00982ABA"/>
    <w:rsid w:val="00995777"/>
    <w:rsid w:val="009A2297"/>
    <w:rsid w:val="009B2237"/>
    <w:rsid w:val="009C2399"/>
    <w:rsid w:val="009E73D5"/>
    <w:rsid w:val="009F331F"/>
    <w:rsid w:val="00A10E0F"/>
    <w:rsid w:val="00A15EA4"/>
    <w:rsid w:val="00A25960"/>
    <w:rsid w:val="00A358FE"/>
    <w:rsid w:val="00A5554F"/>
    <w:rsid w:val="00A860F7"/>
    <w:rsid w:val="00A95839"/>
    <w:rsid w:val="00AA136F"/>
    <w:rsid w:val="00AA4D3E"/>
    <w:rsid w:val="00AC3427"/>
    <w:rsid w:val="00AC53E5"/>
    <w:rsid w:val="00AC7122"/>
    <w:rsid w:val="00AD7361"/>
    <w:rsid w:val="00AF0FF6"/>
    <w:rsid w:val="00B079D6"/>
    <w:rsid w:val="00B309A3"/>
    <w:rsid w:val="00B814D9"/>
    <w:rsid w:val="00BA75EC"/>
    <w:rsid w:val="00BB23DD"/>
    <w:rsid w:val="00BD1F4A"/>
    <w:rsid w:val="00BD1F9D"/>
    <w:rsid w:val="00C02044"/>
    <w:rsid w:val="00C07BAE"/>
    <w:rsid w:val="00C1743D"/>
    <w:rsid w:val="00C577AD"/>
    <w:rsid w:val="00C67037"/>
    <w:rsid w:val="00C73556"/>
    <w:rsid w:val="00C854A0"/>
    <w:rsid w:val="00C92E2F"/>
    <w:rsid w:val="00CA60C7"/>
    <w:rsid w:val="00CE1D47"/>
    <w:rsid w:val="00D0676E"/>
    <w:rsid w:val="00D45AAB"/>
    <w:rsid w:val="00D4672C"/>
    <w:rsid w:val="00D51D97"/>
    <w:rsid w:val="00D522FC"/>
    <w:rsid w:val="00D52C0D"/>
    <w:rsid w:val="00D63A83"/>
    <w:rsid w:val="00D66DDD"/>
    <w:rsid w:val="00D77675"/>
    <w:rsid w:val="00D86BF0"/>
    <w:rsid w:val="00DA209F"/>
    <w:rsid w:val="00DA4CF7"/>
    <w:rsid w:val="00DC3371"/>
    <w:rsid w:val="00DD3631"/>
    <w:rsid w:val="00DF488F"/>
    <w:rsid w:val="00E15366"/>
    <w:rsid w:val="00E1610E"/>
    <w:rsid w:val="00E22D47"/>
    <w:rsid w:val="00E5487E"/>
    <w:rsid w:val="00E864F2"/>
    <w:rsid w:val="00EA4A4E"/>
    <w:rsid w:val="00EC15AC"/>
    <w:rsid w:val="00ED0A3F"/>
    <w:rsid w:val="00EE7EA3"/>
    <w:rsid w:val="00EF103F"/>
    <w:rsid w:val="00EF5220"/>
    <w:rsid w:val="00EF56FA"/>
    <w:rsid w:val="00EF7A3C"/>
    <w:rsid w:val="00F01EA1"/>
    <w:rsid w:val="00F061A7"/>
    <w:rsid w:val="00F32E26"/>
    <w:rsid w:val="00F416C7"/>
    <w:rsid w:val="00F7292E"/>
    <w:rsid w:val="00F7421E"/>
    <w:rsid w:val="00F771BC"/>
    <w:rsid w:val="00F85569"/>
    <w:rsid w:val="00F95086"/>
    <w:rsid w:val="00FA6414"/>
    <w:rsid w:val="00FB3364"/>
    <w:rsid w:val="00FB6397"/>
    <w:rsid w:val="00FB7D32"/>
    <w:rsid w:val="00FD0897"/>
    <w:rsid w:val="00FD6901"/>
    <w:rsid w:val="00FE1303"/>
    <w:rsid w:val="00FE6B7D"/>
    <w:rsid w:val="00FF4B7F"/>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FCB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4"/>
        <w:lang w:val="de-DE" w:eastAsia="de-DE" w:bidi="ar-SA"/>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287703"/>
    <w:pPr>
      <w:spacing w:after="60" w:line="276" w:lineRule="auto"/>
    </w:pPr>
  </w:style>
  <w:style w:type="paragraph" w:styleId="berschrift1">
    <w:name w:val="heading 1"/>
    <w:basedOn w:val="Heading"/>
    <w:next w:val="Textbody"/>
    <w:link w:val="berschrift1Zchn"/>
    <w:uiPriority w:val="9"/>
    <w:qFormat/>
    <w:rsid w:val="00EF103F"/>
    <w:pPr>
      <w:outlineLvl w:val="0"/>
    </w:pPr>
    <w:rPr>
      <w:b/>
      <w:bCs/>
      <w:color w:val="4F81BD" w:themeColor="accent1"/>
    </w:rPr>
  </w:style>
  <w:style w:type="paragraph" w:styleId="berschrift2">
    <w:name w:val="heading 2"/>
    <w:basedOn w:val="Standard"/>
    <w:next w:val="Standard"/>
    <w:link w:val="berschrift2Zchn"/>
    <w:uiPriority w:val="9"/>
    <w:unhideWhenUsed/>
    <w:qFormat/>
    <w:rsid w:val="00AF0FF6"/>
    <w:pPr>
      <w:keepNext/>
      <w:keepLines/>
      <w:spacing w:before="200" w:after="24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eastAsia="Microsoft YaHei" w:cs="Mangal"/>
      <w:sz w:val="28"/>
      <w:szCs w:val="28"/>
    </w:rPr>
  </w:style>
  <w:style w:type="paragraph" w:customStyle="1" w:styleId="Textbody">
    <w:name w:val="Text body"/>
    <w:basedOn w:val="Standard"/>
    <w:pPr>
      <w:spacing w:after="140"/>
    </w:pPr>
  </w:style>
  <w:style w:type="paragraph" w:styleId="Liste">
    <w:name w:val="List"/>
    <w:basedOn w:val="Textbody"/>
    <w:rPr>
      <w:rFonts w:cs="Mangal"/>
    </w:rPr>
  </w:style>
  <w:style w:type="paragraph" w:styleId="Beschriftung">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styleId="Kopfzeile">
    <w:name w:val="header"/>
    <w:basedOn w:val="Standard"/>
    <w:uiPriority w:val="99"/>
    <w:pPr>
      <w:suppressLineNumbers/>
      <w:tabs>
        <w:tab w:val="center" w:pos="4819"/>
        <w:tab w:val="right" w:pos="9638"/>
      </w:tabs>
    </w:pPr>
  </w:style>
  <w:style w:type="paragraph" w:styleId="Fuzeile">
    <w:name w:val="footer"/>
    <w:basedOn w:val="Standard"/>
    <w:pPr>
      <w:suppressLineNumbers/>
      <w:tabs>
        <w:tab w:val="center" w:pos="4819"/>
        <w:tab w:val="right" w:pos="9638"/>
      </w:tabs>
    </w:pPr>
  </w:style>
  <w:style w:type="paragraph" w:styleId="Listenabsatz">
    <w:name w:val="List Paragraph"/>
    <w:basedOn w:val="Standard"/>
    <w:pPr>
      <w:ind w:left="720"/>
    </w:pPr>
    <w:rPr>
      <w:sz w:val="20"/>
    </w:rPr>
  </w:style>
  <w:style w:type="paragraph" w:customStyle="1" w:styleId="MSGENFONTSTYLENAMETEMPLATEROLENUMBERMSGENFONTSTYLENAMEBYROLETEXT2">
    <w:name w:val="MSG_EN_FONT_STYLE_NAME_TEMPLATE_ROLE_NUMBER MSG_EN_FONT_STYLE_NAME_BY_ROLE_TEXT 2"/>
    <w:basedOn w:val="Standard"/>
    <w:pPr>
      <w:shd w:val="clear" w:color="auto" w:fill="FFFFFF"/>
      <w:spacing w:before="560" w:line="274" w:lineRule="exact"/>
      <w:ind w:hanging="360"/>
    </w:pPr>
    <w:rPr>
      <w:rFonts w:ascii="Arial" w:eastAsia="Arial" w:hAnsi="Arial" w:cs="Arial"/>
      <w:sz w:val="22"/>
      <w:szCs w:val="22"/>
    </w:rPr>
  </w:style>
  <w:style w:type="paragraph" w:customStyle="1" w:styleId="DocumentMap">
    <w:name w:val="DocumentMap"/>
    <w:pPr>
      <w:widowControl w:val="0"/>
      <w:textAlignment w:val="auto"/>
    </w:pPr>
    <w:rPr>
      <w:rFonts w:ascii="Times New Roman" w:hAnsi="Times New Roman"/>
      <w:szCs w:val="24"/>
      <w:lang w:val="en-US" w:eastAsia="en-US"/>
    </w:rPr>
  </w:style>
  <w:style w:type="paragraph" w:customStyle="1" w:styleId="Framecontents">
    <w:name w:val="Frame contents"/>
    <w:basedOn w:val="Standard"/>
  </w:style>
  <w:style w:type="paragraph" w:customStyle="1" w:styleId="Beschriftung1">
    <w:name w:val="Beschriftung1"/>
    <w:basedOn w:val="Standard"/>
    <w:pPr>
      <w:suppressLineNumbers/>
      <w:spacing w:before="120" w:after="120"/>
    </w:pPr>
  </w:style>
  <w:style w:type="paragraph" w:customStyle="1" w:styleId="Einrckung0">
    <w:name w:val="Einrückung0"/>
    <w:basedOn w:val="Standard"/>
    <w:pPr>
      <w:spacing w:line="360" w:lineRule="atLeast"/>
    </w:pPr>
  </w:style>
  <w:style w:type="paragraph" w:customStyle="1" w:styleId="Einrckung1">
    <w:name w:val="Einrückung1"/>
    <w:basedOn w:val="Standard"/>
    <w:pPr>
      <w:spacing w:line="360" w:lineRule="atLeast"/>
      <w:ind w:left="425" w:hanging="425"/>
    </w:pPr>
  </w:style>
  <w:style w:type="paragraph" w:customStyle="1" w:styleId="Einrckung2">
    <w:name w:val="Einrückung2"/>
    <w:basedOn w:val="Standard"/>
    <w:pPr>
      <w:spacing w:line="360" w:lineRule="atLeast"/>
      <w:ind w:left="850" w:hanging="425"/>
    </w:pPr>
  </w:style>
  <w:style w:type="paragraph" w:customStyle="1" w:styleId="Einrckung3">
    <w:name w:val="Einrückung3"/>
    <w:basedOn w:val="Standard"/>
    <w:pPr>
      <w:spacing w:line="360" w:lineRule="atLeast"/>
      <w:ind w:left="1276" w:hanging="425"/>
    </w:pPr>
  </w:style>
  <w:style w:type="paragraph" w:customStyle="1" w:styleId="Einrckung4">
    <w:name w:val="Einrückung4"/>
    <w:basedOn w:val="Standard"/>
    <w:pPr>
      <w:spacing w:line="360" w:lineRule="atLeast"/>
      <w:ind w:left="1701" w:hanging="425"/>
    </w:pPr>
  </w:style>
  <w:style w:type="paragraph" w:customStyle="1" w:styleId="DLTabs">
    <w:name w:val="DLTabs"/>
    <w:basedOn w:val="Standard"/>
    <w:pPr>
      <w:tabs>
        <w:tab w:val="left" w:pos="567"/>
        <w:tab w:val="right" w:pos="7371"/>
        <w:tab w:val="left" w:pos="7938"/>
        <w:tab w:val="left" w:pos="9214"/>
      </w:tabs>
    </w:pPr>
    <w:rPr>
      <w:sz w:val="16"/>
    </w:rPr>
  </w:style>
  <w:style w:type="paragraph" w:styleId="Sprechblasentext">
    <w:name w:val="Balloon Text"/>
    <w:basedOn w:val="Standard"/>
  </w:style>
  <w:style w:type="paragraph" w:styleId="Kommentartext">
    <w:name w:val="annotation text"/>
    <w:basedOn w:val="Standard"/>
  </w:style>
  <w:style w:type="paragraph" w:styleId="Kommentarthema">
    <w:name w:val="annotation subject"/>
    <w:basedOn w:val="Kommentartext"/>
    <w:next w:val="Kommentartext"/>
    <w:rPr>
      <w:b/>
      <w:bCs/>
    </w:rPr>
  </w:style>
  <w:style w:type="paragraph" w:customStyle="1" w:styleId="MSGENFONTSTYLENAMETEMPLATEROLELEVELMSGENFONTSTYLENAMEBYROLEHEADING1">
    <w:name w:val="MSG_EN_FONT_STYLE_NAME_TEMPLATE_ROLE_LEVEL MSG_EN_FONT_STYLE_NAME_BY_ROLE_HEADING 1"/>
    <w:basedOn w:val="Standard"/>
    <w:pPr>
      <w:widowControl w:val="0"/>
      <w:shd w:val="clear" w:color="auto" w:fill="FFFFFF"/>
      <w:spacing w:after="560" w:line="274" w:lineRule="exact"/>
      <w:textAlignment w:val="auto"/>
      <w:outlineLvl w:val="0"/>
    </w:pPr>
    <w:rPr>
      <w:rFonts w:ascii="Arial" w:eastAsia="Arial" w:hAnsi="Arial" w:cs="Arial"/>
      <w:b/>
      <w:bCs/>
      <w:szCs w:val="24"/>
      <w:lang w:val="en-US" w:eastAsia="en-US"/>
    </w:rPr>
  </w:style>
  <w:style w:type="paragraph" w:customStyle="1" w:styleId="berschrift1-allerersteaufersterSeitefrNutzungserklrungWebServicesLBS">
    <w:name w:val="Überschrift1 - allererste auf erster Seite (für Nutzungserklärung WebServices LBS)"/>
    <w:basedOn w:val="berschrift1"/>
    <w:next w:val="Standard-frNutzungserklrungWebServicesLBS"/>
    <w:pPr>
      <w:spacing w:before="0" w:after="57" w:line="259" w:lineRule="auto"/>
    </w:pPr>
    <w:rPr>
      <w:sz w:val="22"/>
    </w:rPr>
  </w:style>
  <w:style w:type="paragraph" w:customStyle="1" w:styleId="berschrift1-alleweiterenfrNutzungserklrungWebServicesLBS">
    <w:name w:val="Überschrift1 - alle weiteren für Nutzungserklärung WebServices LBS"/>
    <w:basedOn w:val="berschrift1"/>
    <w:next w:val="Standard-frNutzungserklrungWebServicesLBS"/>
    <w:pPr>
      <w:spacing w:before="238" w:after="57" w:line="259" w:lineRule="auto"/>
    </w:pPr>
    <w:rPr>
      <w:sz w:val="22"/>
    </w:rPr>
  </w:style>
  <w:style w:type="paragraph" w:customStyle="1" w:styleId="Standard-frNutzungserklrungWebServicesLBS">
    <w:name w:val="Standard - für Nutzungserklärung WebServices LBS"/>
    <w:basedOn w:val="Standard"/>
    <w:pPr>
      <w:spacing w:after="57" w:line="259" w:lineRule="auto"/>
      <w:jc w:val="both"/>
    </w:pPr>
    <w:rPr>
      <w:sz w:val="22"/>
    </w:rPr>
  </w:style>
  <w:style w:type="paragraph" w:customStyle="1" w:styleId="Illustration">
    <w:name w:val="Illustration"/>
    <w:basedOn w:val="Beschriftung"/>
  </w:style>
  <w:style w:type="character" w:customStyle="1" w:styleId="ListLabel2">
    <w:name w:val="ListLabel 2"/>
    <w:rPr>
      <w:b w:val="0"/>
      <w:bCs w:val="0"/>
      <w:i w:val="0"/>
      <w:iCs w:val="0"/>
      <w:caps w:val="0"/>
      <w:smallCaps w:val="0"/>
      <w:strike w:val="0"/>
      <w:dstrike w:val="0"/>
      <w:color w:val="000000"/>
      <w:spacing w:val="0"/>
      <w:w w:val="100"/>
      <w:sz w:val="22"/>
      <w:szCs w:val="22"/>
      <w:u w:val="none"/>
      <w:lang w:val="en-US" w:eastAsia="en-US" w:bidi="en-US"/>
    </w:rPr>
  </w:style>
  <w:style w:type="character" w:customStyle="1" w:styleId="WW8Num1z0">
    <w:name w:val="WW8Num1z0"/>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0">
    <w:name w:val="WW8Num2z0"/>
    <w:rPr>
      <w:rFonts w:ascii="Wingdings" w:hAnsi="Wingdings"/>
    </w:rPr>
  </w:style>
  <w:style w:type="character" w:customStyle="1" w:styleId="WW8Num2z1">
    <w:name w:val="WW8Num2z1"/>
    <w:rPr>
      <w:rFonts w:ascii="Courier New" w:hAnsi="Courier New" w:cs="Courier New"/>
    </w:rPr>
  </w:style>
  <w:style w:type="character" w:customStyle="1" w:styleId="WW8Num2z3">
    <w:name w:val="WW8Num2z3"/>
    <w:rPr>
      <w:rFonts w:ascii="Symbol" w:hAnsi="Symbol"/>
    </w:rPr>
  </w:style>
  <w:style w:type="character" w:customStyle="1" w:styleId="WW8Num3z0">
    <w:name w:val="WW8Num3z0"/>
    <w:rPr>
      <w:rFonts w:ascii="Wingdings" w:hAnsi="Wingdings"/>
    </w:rPr>
  </w:style>
  <w:style w:type="character" w:customStyle="1" w:styleId="WW8Num3z1">
    <w:name w:val="WW8Num3z1"/>
    <w:rPr>
      <w:rFonts w:ascii="Courier New" w:hAnsi="Courier New" w:cs="Courier New"/>
    </w:rPr>
  </w:style>
  <w:style w:type="character" w:customStyle="1" w:styleId="WW8Num3z3">
    <w:name w:val="WW8Num3z3"/>
    <w:rPr>
      <w:rFonts w:ascii="Symbol" w:hAnsi="Symbol"/>
    </w:rPr>
  </w:style>
  <w:style w:type="character" w:customStyle="1" w:styleId="WW8Num4z0">
    <w:name w:val="WW8Num4z0"/>
    <w:rPr>
      <w:rFonts w:ascii="Wingdings" w:hAnsi="Wingdings"/>
    </w:rPr>
  </w:style>
  <w:style w:type="character" w:customStyle="1" w:styleId="WW8Num4z1">
    <w:name w:val="WW8Num4z1"/>
    <w:rPr>
      <w:rFonts w:ascii="Courier New" w:hAnsi="Courier New" w:cs="Courier New"/>
    </w:rPr>
  </w:style>
  <w:style w:type="character" w:customStyle="1" w:styleId="WW8Num4z3">
    <w:name w:val="WW8Num4z3"/>
    <w:rPr>
      <w:rFonts w:ascii="Symbol" w:hAnsi="Symbol"/>
    </w:rPr>
  </w:style>
  <w:style w:type="character" w:customStyle="1" w:styleId="WW8Num5z0">
    <w:name w:val="WW8Num5z0"/>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Absatz-Standardschriftart1">
    <w:name w:val="Absatz-Standardschriftart1"/>
  </w:style>
  <w:style w:type="character" w:styleId="Seitenzahl">
    <w:name w:val="page number"/>
    <w:basedOn w:val="Absatz-Standardschriftart1"/>
  </w:style>
  <w:style w:type="character" w:customStyle="1" w:styleId="KopfzeileZchn">
    <w:name w:val="Kopfzeile Zchn"/>
    <w:basedOn w:val="Absatz-Standardschriftart"/>
    <w:uiPriority w:val="99"/>
  </w:style>
  <w:style w:type="character" w:styleId="Platzhaltertext">
    <w:name w:val="Placeholder Text"/>
    <w:basedOn w:val="Absatz-Standardschriftart"/>
    <w:rPr>
      <w:color w:val="808080"/>
    </w:rPr>
  </w:style>
  <w:style w:type="character" w:styleId="Kommentarzeichen">
    <w:name w:val="annotation reference"/>
    <w:basedOn w:val="Absatz-Standardschriftart"/>
    <w:rPr>
      <w:sz w:val="16"/>
      <w:szCs w:val="16"/>
    </w:rPr>
  </w:style>
  <w:style w:type="character" w:customStyle="1" w:styleId="KommentartextZchn">
    <w:name w:val="Kommentartext Zchn"/>
    <w:basedOn w:val="Absatz-Standardschriftart"/>
  </w:style>
  <w:style w:type="character" w:customStyle="1" w:styleId="KommentarthemaZchn">
    <w:name w:val="Kommentarthema Zchn"/>
    <w:basedOn w:val="KommentartextZchn"/>
    <w:rPr>
      <w:b/>
      <w:bCs/>
    </w:rPr>
  </w:style>
  <w:style w:type="character" w:customStyle="1" w:styleId="MSGENFONTSTYLENAMETEMPLATEROLENUMBERMSGENFONTSTYLENAMEBYROLETEXT20">
    <w:name w:val="MSG_EN_FONT_STYLE_NAME_TEMPLATE_ROLE_NUMBER MSG_EN_FONT_STYLE_NAME_BY_ROLE_TEXT 2_"/>
    <w:basedOn w:val="Absatz-Standardschriftart"/>
    <w:rPr>
      <w:rFonts w:ascii="Arial" w:eastAsia="Arial" w:hAnsi="Arial" w:cs="Arial"/>
      <w:sz w:val="22"/>
      <w:szCs w:val="22"/>
      <w:shd w:val="clear" w:color="auto" w:fill="FFFFFF"/>
    </w:rPr>
  </w:style>
  <w:style w:type="character" w:customStyle="1" w:styleId="ListLabel1">
    <w:name w:val="ListLabel 1"/>
    <w:rPr>
      <w:rFonts w:cs="Courier New"/>
    </w:rPr>
  </w:style>
  <w:style w:type="character" w:customStyle="1" w:styleId="ListLabel3">
    <w:name w:val="ListLabel 3"/>
    <w:rPr>
      <w:rFonts w:cs="Courier New"/>
    </w:rPr>
  </w:style>
  <w:style w:type="character" w:customStyle="1" w:styleId="MSGENFONTSTYLENAMETEMPLATEROLELEVELMSGENFONTSTYLENAMEBYROLEHEADING10">
    <w:name w:val="MSG_EN_FONT_STYLE_NAME_TEMPLATE_ROLE_LEVEL MSG_EN_FONT_STYLE_NAME_BY_ROLE_HEADING 1_"/>
    <w:basedOn w:val="Absatz-Standardschriftart"/>
    <w:rPr>
      <w:rFonts w:ascii="Arial" w:eastAsia="Arial" w:hAnsi="Arial" w:cs="Arial"/>
      <w:shd w:val="clear" w:color="auto" w:fill="FFFFFF"/>
    </w:rPr>
  </w:style>
  <w:style w:type="character" w:customStyle="1" w:styleId="Internetlink">
    <w:name w:val="Internet link"/>
    <w:rPr>
      <w:color w:val="000080"/>
      <w:u w:val="single"/>
    </w:rPr>
  </w:style>
  <w:style w:type="character" w:customStyle="1" w:styleId="VisitedInternetLink">
    <w:name w:val="Visited Internet Link"/>
    <w:rPr>
      <w:color w:val="800000"/>
      <w:u w:val="single"/>
    </w:rPr>
  </w:style>
  <w:style w:type="numbering" w:customStyle="1" w:styleId="WWNum2">
    <w:name w:val="WWNum2"/>
    <w:basedOn w:val="KeineListe"/>
    <w:pPr>
      <w:numPr>
        <w:numId w:val="1"/>
      </w:numPr>
    </w:pPr>
  </w:style>
  <w:style w:type="character" w:styleId="Hyperlink">
    <w:name w:val="Hyperlink"/>
    <w:basedOn w:val="Absatz-Standardschriftart"/>
    <w:uiPriority w:val="99"/>
    <w:unhideWhenUsed/>
    <w:rsid w:val="00E5487E"/>
    <w:rPr>
      <w:color w:val="0000FF" w:themeColor="hyperlink"/>
      <w:u w:val="single"/>
    </w:rPr>
  </w:style>
  <w:style w:type="paragraph" w:styleId="KeinLeerraum">
    <w:name w:val="No Spacing"/>
    <w:link w:val="KeinLeerraumZchn"/>
    <w:uiPriority w:val="1"/>
    <w:qFormat/>
    <w:rsid w:val="00E5487E"/>
    <w:pPr>
      <w:suppressAutoHyphens w:val="0"/>
      <w:autoSpaceDN/>
      <w:textAlignment w:val="auto"/>
    </w:pPr>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E5487E"/>
    <w:rPr>
      <w:rFonts w:asciiTheme="minorHAnsi" w:eastAsiaTheme="minorEastAsia" w:hAnsiTheme="minorHAnsi" w:cstheme="minorBidi"/>
      <w:sz w:val="22"/>
      <w:szCs w:val="22"/>
    </w:rPr>
  </w:style>
  <w:style w:type="paragraph" w:styleId="Titel">
    <w:name w:val="Title"/>
    <w:basedOn w:val="Standard"/>
    <w:next w:val="Standard"/>
    <w:link w:val="TitelZchn"/>
    <w:uiPriority w:val="10"/>
    <w:qFormat/>
    <w:rsid w:val="005D2A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44"/>
      <w:szCs w:val="52"/>
    </w:rPr>
  </w:style>
  <w:style w:type="character" w:customStyle="1" w:styleId="TitelZchn">
    <w:name w:val="Titel Zchn"/>
    <w:basedOn w:val="Absatz-Standardschriftart"/>
    <w:link w:val="Titel"/>
    <w:uiPriority w:val="10"/>
    <w:rsid w:val="005D2A4E"/>
    <w:rPr>
      <w:rFonts w:asciiTheme="majorHAnsi" w:eastAsiaTheme="majorEastAsia" w:hAnsiTheme="majorHAnsi" w:cstheme="majorBidi"/>
      <w:color w:val="17365D" w:themeColor="text2" w:themeShade="BF"/>
      <w:spacing w:val="5"/>
      <w:kern w:val="28"/>
      <w:sz w:val="44"/>
      <w:szCs w:val="52"/>
    </w:rPr>
  </w:style>
  <w:style w:type="paragraph" w:styleId="Untertitel">
    <w:name w:val="Subtitle"/>
    <w:basedOn w:val="Standard"/>
    <w:next w:val="Standard"/>
    <w:link w:val="UntertitelZchn"/>
    <w:uiPriority w:val="11"/>
    <w:qFormat/>
    <w:rsid w:val="004E28B6"/>
    <w:pPr>
      <w:numPr>
        <w:ilvl w:val="1"/>
      </w:numPr>
    </w:pPr>
    <w:rPr>
      <w:rFonts w:asciiTheme="majorHAnsi" w:eastAsiaTheme="majorEastAsia" w:hAnsiTheme="majorHAnsi" w:cstheme="majorBidi"/>
      <w:i/>
      <w:iCs/>
      <w:color w:val="4F81BD" w:themeColor="accent1"/>
      <w:spacing w:val="15"/>
      <w:szCs w:val="24"/>
    </w:rPr>
  </w:style>
  <w:style w:type="character" w:customStyle="1" w:styleId="UntertitelZchn">
    <w:name w:val="Untertitel Zchn"/>
    <w:basedOn w:val="Absatz-Standardschriftart"/>
    <w:link w:val="Untertitel"/>
    <w:uiPriority w:val="11"/>
    <w:rsid w:val="004E28B6"/>
    <w:rPr>
      <w:rFonts w:asciiTheme="majorHAnsi" w:eastAsiaTheme="majorEastAsia" w:hAnsiTheme="majorHAnsi" w:cstheme="majorBidi"/>
      <w:i/>
      <w:iCs/>
      <w:color w:val="4F81BD" w:themeColor="accent1"/>
      <w:spacing w:val="15"/>
      <w:szCs w:val="24"/>
    </w:rPr>
  </w:style>
  <w:style w:type="character" w:customStyle="1" w:styleId="berschrift2Zchn">
    <w:name w:val="Überschrift 2 Zchn"/>
    <w:basedOn w:val="Absatz-Standardschriftart"/>
    <w:link w:val="berschrift2"/>
    <w:uiPriority w:val="9"/>
    <w:rsid w:val="00AF0FF6"/>
    <w:rPr>
      <w:rFonts w:asciiTheme="majorHAnsi" w:eastAsiaTheme="majorEastAsia" w:hAnsiTheme="majorHAnsi" w:cstheme="majorBidi"/>
      <w:b/>
      <w:bCs/>
      <w:color w:val="4F81BD" w:themeColor="accent1"/>
      <w:sz w:val="26"/>
      <w:szCs w:val="26"/>
    </w:rPr>
  </w:style>
  <w:style w:type="character" w:customStyle="1" w:styleId="berschrift1Zchn">
    <w:name w:val="Überschrift 1 Zchn"/>
    <w:basedOn w:val="Absatz-Standardschriftart"/>
    <w:link w:val="berschrift1"/>
    <w:uiPriority w:val="9"/>
    <w:rsid w:val="00EF103F"/>
    <w:rPr>
      <w:rFonts w:eastAsia="Microsoft YaHei" w:cs="Mangal"/>
      <w:b/>
      <w:bCs/>
      <w:color w:val="4F81BD" w:themeColor="accent1"/>
      <w:sz w:val="28"/>
      <w:szCs w:val="28"/>
    </w:rPr>
  </w:style>
  <w:style w:type="character" w:styleId="Fett">
    <w:name w:val="Strong"/>
    <w:basedOn w:val="Absatz-Standardschriftart"/>
    <w:uiPriority w:val="22"/>
    <w:qFormat/>
    <w:rsid w:val="008D20A0"/>
    <w:rPr>
      <w:b/>
      <w:bCs/>
    </w:rPr>
  </w:style>
  <w:style w:type="character" w:styleId="Hervorhebung">
    <w:name w:val="Emphasis"/>
    <w:basedOn w:val="Absatz-Standardschriftart"/>
    <w:uiPriority w:val="20"/>
    <w:qFormat/>
    <w:rsid w:val="008D20A0"/>
    <w:rPr>
      <w:i/>
      <w:iCs/>
    </w:rPr>
  </w:style>
  <w:style w:type="character" w:customStyle="1" w:styleId="ckeimageresizer">
    <w:name w:val="cke_image_resizer"/>
    <w:basedOn w:val="Absatz-Standardschriftart"/>
    <w:rsid w:val="008D20A0"/>
  </w:style>
  <w:style w:type="character" w:styleId="BesuchterLink">
    <w:name w:val="FollowedHyperlink"/>
    <w:basedOn w:val="Absatz-Standardschriftart"/>
    <w:uiPriority w:val="99"/>
    <w:semiHidden/>
    <w:unhideWhenUsed/>
    <w:rsid w:val="0082147A"/>
    <w:rPr>
      <w:color w:val="800080" w:themeColor="followedHyperlink"/>
      <w:u w:val="single"/>
    </w:rPr>
  </w:style>
  <w:style w:type="paragraph" w:styleId="berarbeitung">
    <w:name w:val="Revision"/>
    <w:hidden/>
    <w:uiPriority w:val="99"/>
    <w:semiHidden/>
    <w:rsid w:val="00ED0A3F"/>
    <w:pPr>
      <w:suppressAutoHyphens w:val="0"/>
      <w:autoSpaceDN/>
      <w:textAlignment w:val="auto"/>
    </w:pPr>
  </w:style>
  <w:style w:type="character" w:customStyle="1" w:styleId="NichtaufgelsteErwhnung1">
    <w:name w:val="Nicht aufgelöste Erwähnung1"/>
    <w:basedOn w:val="Absatz-Standardschriftart"/>
    <w:uiPriority w:val="99"/>
    <w:semiHidden/>
    <w:unhideWhenUsed/>
    <w:rsid w:val="00B309A3"/>
    <w:rPr>
      <w:color w:val="605E5C"/>
      <w:shd w:val="clear" w:color="auto" w:fill="E1DFDD"/>
    </w:rPr>
  </w:style>
  <w:style w:type="character" w:customStyle="1" w:styleId="showbody">
    <w:name w:val="showbody"/>
    <w:basedOn w:val="Absatz-Standardschriftart"/>
    <w:rsid w:val="00493DB7"/>
  </w:style>
  <w:style w:type="character" w:styleId="NichtaufgelsteErwhnung">
    <w:name w:val="Unresolved Mention"/>
    <w:basedOn w:val="Absatz-Standardschriftart"/>
    <w:uiPriority w:val="99"/>
    <w:semiHidden/>
    <w:unhideWhenUsed/>
    <w:rsid w:val="00493DB7"/>
    <w:rPr>
      <w:color w:val="605E5C"/>
      <w:shd w:val="clear" w:color="auto" w:fill="E1DFDD"/>
    </w:rPr>
  </w:style>
  <w:style w:type="paragraph" w:styleId="Funotentext">
    <w:name w:val="footnote text"/>
    <w:basedOn w:val="Standard"/>
    <w:link w:val="FunotentextZchn"/>
    <w:uiPriority w:val="99"/>
    <w:semiHidden/>
    <w:unhideWhenUsed/>
    <w:rsid w:val="008C3229"/>
    <w:pPr>
      <w:spacing w:after="0" w:line="240" w:lineRule="auto"/>
    </w:pPr>
    <w:rPr>
      <w:sz w:val="20"/>
    </w:rPr>
  </w:style>
  <w:style w:type="character" w:customStyle="1" w:styleId="FunotentextZchn">
    <w:name w:val="Fußnotentext Zchn"/>
    <w:basedOn w:val="Absatz-Standardschriftart"/>
    <w:link w:val="Funotentext"/>
    <w:uiPriority w:val="99"/>
    <w:semiHidden/>
    <w:rsid w:val="008C3229"/>
    <w:rPr>
      <w:sz w:val="20"/>
    </w:rPr>
  </w:style>
  <w:style w:type="character" w:styleId="Funotenzeichen">
    <w:name w:val="footnote reference"/>
    <w:basedOn w:val="Absatz-Standardschriftart"/>
    <w:uiPriority w:val="99"/>
    <w:semiHidden/>
    <w:unhideWhenUsed/>
    <w:rsid w:val="008C3229"/>
    <w:rPr>
      <w:vertAlign w:val="superscript"/>
    </w:rPr>
  </w:style>
  <w:style w:type="paragraph" w:styleId="StandardWeb">
    <w:name w:val="Normal (Web)"/>
    <w:basedOn w:val="Standard"/>
    <w:uiPriority w:val="99"/>
    <w:unhideWhenUsed/>
    <w:rsid w:val="003C2AEE"/>
    <w:pPr>
      <w:suppressAutoHyphens w:val="0"/>
      <w:autoSpaceDN/>
      <w:spacing w:before="100" w:beforeAutospacing="1" w:after="100" w:afterAutospacing="1" w:line="240" w:lineRule="auto"/>
      <w:textAlignment w:val="auto"/>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22330">
      <w:bodyDiv w:val="1"/>
      <w:marLeft w:val="0"/>
      <w:marRight w:val="0"/>
      <w:marTop w:val="0"/>
      <w:marBottom w:val="0"/>
      <w:divBdr>
        <w:top w:val="none" w:sz="0" w:space="0" w:color="auto"/>
        <w:left w:val="none" w:sz="0" w:space="0" w:color="auto"/>
        <w:bottom w:val="none" w:sz="0" w:space="0" w:color="auto"/>
        <w:right w:val="none" w:sz="0" w:space="0" w:color="auto"/>
      </w:divBdr>
    </w:div>
    <w:div w:id="331102337">
      <w:bodyDiv w:val="1"/>
      <w:marLeft w:val="0"/>
      <w:marRight w:val="0"/>
      <w:marTop w:val="0"/>
      <w:marBottom w:val="0"/>
      <w:divBdr>
        <w:top w:val="none" w:sz="0" w:space="0" w:color="auto"/>
        <w:left w:val="none" w:sz="0" w:space="0" w:color="auto"/>
        <w:bottom w:val="none" w:sz="0" w:space="0" w:color="auto"/>
        <w:right w:val="none" w:sz="0" w:space="0" w:color="auto"/>
      </w:divBdr>
      <w:divsChild>
        <w:div w:id="592320327">
          <w:marLeft w:val="0"/>
          <w:marRight w:val="0"/>
          <w:marTop w:val="0"/>
          <w:marBottom w:val="0"/>
          <w:divBdr>
            <w:top w:val="none" w:sz="0" w:space="0" w:color="auto"/>
            <w:left w:val="none" w:sz="0" w:space="0" w:color="auto"/>
            <w:bottom w:val="none" w:sz="0" w:space="0" w:color="auto"/>
            <w:right w:val="none" w:sz="0" w:space="0" w:color="auto"/>
          </w:divBdr>
        </w:div>
      </w:divsChild>
    </w:div>
    <w:div w:id="599413983">
      <w:bodyDiv w:val="1"/>
      <w:marLeft w:val="0"/>
      <w:marRight w:val="0"/>
      <w:marTop w:val="0"/>
      <w:marBottom w:val="0"/>
      <w:divBdr>
        <w:top w:val="none" w:sz="0" w:space="0" w:color="auto"/>
        <w:left w:val="none" w:sz="0" w:space="0" w:color="auto"/>
        <w:bottom w:val="none" w:sz="0" w:space="0" w:color="auto"/>
        <w:right w:val="none" w:sz="0" w:space="0" w:color="auto"/>
      </w:divBdr>
    </w:div>
    <w:div w:id="701825286">
      <w:bodyDiv w:val="1"/>
      <w:marLeft w:val="0"/>
      <w:marRight w:val="0"/>
      <w:marTop w:val="0"/>
      <w:marBottom w:val="0"/>
      <w:divBdr>
        <w:top w:val="none" w:sz="0" w:space="0" w:color="auto"/>
        <w:left w:val="none" w:sz="0" w:space="0" w:color="auto"/>
        <w:bottom w:val="none" w:sz="0" w:space="0" w:color="auto"/>
        <w:right w:val="none" w:sz="0" w:space="0" w:color="auto"/>
      </w:divBdr>
    </w:div>
    <w:div w:id="1139953785">
      <w:bodyDiv w:val="1"/>
      <w:marLeft w:val="0"/>
      <w:marRight w:val="0"/>
      <w:marTop w:val="0"/>
      <w:marBottom w:val="0"/>
      <w:divBdr>
        <w:top w:val="none" w:sz="0" w:space="0" w:color="auto"/>
        <w:left w:val="none" w:sz="0" w:space="0" w:color="auto"/>
        <w:bottom w:val="none" w:sz="0" w:space="0" w:color="auto"/>
        <w:right w:val="none" w:sz="0" w:space="0" w:color="auto"/>
      </w:divBdr>
    </w:div>
    <w:div w:id="1201473623">
      <w:bodyDiv w:val="1"/>
      <w:marLeft w:val="0"/>
      <w:marRight w:val="0"/>
      <w:marTop w:val="0"/>
      <w:marBottom w:val="0"/>
      <w:divBdr>
        <w:top w:val="none" w:sz="0" w:space="0" w:color="auto"/>
        <w:left w:val="none" w:sz="0" w:space="0" w:color="auto"/>
        <w:bottom w:val="none" w:sz="0" w:space="0" w:color="auto"/>
        <w:right w:val="none" w:sz="0" w:space="0" w:color="auto"/>
      </w:divBdr>
    </w:div>
    <w:div w:id="1216501030">
      <w:bodyDiv w:val="1"/>
      <w:marLeft w:val="0"/>
      <w:marRight w:val="0"/>
      <w:marTop w:val="0"/>
      <w:marBottom w:val="0"/>
      <w:divBdr>
        <w:top w:val="none" w:sz="0" w:space="0" w:color="auto"/>
        <w:left w:val="none" w:sz="0" w:space="0" w:color="auto"/>
        <w:bottom w:val="none" w:sz="0" w:space="0" w:color="auto"/>
        <w:right w:val="none" w:sz="0" w:space="0" w:color="auto"/>
      </w:divBdr>
    </w:div>
    <w:div w:id="1821536488">
      <w:bodyDiv w:val="1"/>
      <w:marLeft w:val="0"/>
      <w:marRight w:val="0"/>
      <w:marTop w:val="0"/>
      <w:marBottom w:val="0"/>
      <w:divBdr>
        <w:top w:val="none" w:sz="0" w:space="0" w:color="auto"/>
        <w:left w:val="none" w:sz="0" w:space="0" w:color="auto"/>
        <w:bottom w:val="none" w:sz="0" w:space="0" w:color="auto"/>
        <w:right w:val="none" w:sz="0" w:space="0" w:color="auto"/>
      </w:divBdr>
      <w:divsChild>
        <w:div w:id="2054108313">
          <w:marLeft w:val="0"/>
          <w:marRight w:val="0"/>
          <w:marTop w:val="0"/>
          <w:marBottom w:val="0"/>
          <w:divBdr>
            <w:top w:val="none" w:sz="0" w:space="0" w:color="auto"/>
            <w:left w:val="none" w:sz="0" w:space="0" w:color="auto"/>
            <w:bottom w:val="none" w:sz="0" w:space="0" w:color="auto"/>
            <w:right w:val="none" w:sz="0" w:space="0" w:color="auto"/>
          </w:divBdr>
        </w:div>
      </w:divsChild>
    </w:div>
    <w:div w:id="1898012546">
      <w:bodyDiv w:val="1"/>
      <w:marLeft w:val="0"/>
      <w:marRight w:val="0"/>
      <w:marTop w:val="0"/>
      <w:marBottom w:val="0"/>
      <w:divBdr>
        <w:top w:val="none" w:sz="0" w:space="0" w:color="auto"/>
        <w:left w:val="none" w:sz="0" w:space="0" w:color="auto"/>
        <w:bottom w:val="none" w:sz="0" w:space="0" w:color="auto"/>
        <w:right w:val="none" w:sz="0" w:space="0" w:color="auto"/>
      </w:divBdr>
      <w:divsChild>
        <w:div w:id="1205874310">
          <w:marLeft w:val="0"/>
          <w:marRight w:val="0"/>
          <w:marTop w:val="0"/>
          <w:marBottom w:val="0"/>
          <w:divBdr>
            <w:top w:val="none" w:sz="0" w:space="0" w:color="auto"/>
            <w:left w:val="none" w:sz="0" w:space="0" w:color="auto"/>
            <w:bottom w:val="none" w:sz="0" w:space="0" w:color="auto"/>
            <w:right w:val="none" w:sz="0" w:space="0" w:color="auto"/>
          </w:divBdr>
        </w:div>
      </w:divsChild>
    </w:div>
    <w:div w:id="1950311892">
      <w:bodyDiv w:val="1"/>
      <w:marLeft w:val="0"/>
      <w:marRight w:val="0"/>
      <w:marTop w:val="0"/>
      <w:marBottom w:val="0"/>
      <w:divBdr>
        <w:top w:val="none" w:sz="0" w:space="0" w:color="auto"/>
        <w:left w:val="none" w:sz="0" w:space="0" w:color="auto"/>
        <w:bottom w:val="none" w:sz="0" w:space="0" w:color="auto"/>
        <w:right w:val="none" w:sz="0" w:space="0" w:color="auto"/>
      </w:divBdr>
    </w:div>
    <w:div w:id="2074304286">
      <w:bodyDiv w:val="1"/>
      <w:marLeft w:val="0"/>
      <w:marRight w:val="0"/>
      <w:marTop w:val="0"/>
      <w:marBottom w:val="0"/>
      <w:divBdr>
        <w:top w:val="none" w:sz="0" w:space="0" w:color="auto"/>
        <w:left w:val="none" w:sz="0" w:space="0" w:color="auto"/>
        <w:bottom w:val="none" w:sz="0" w:space="0" w:color="auto"/>
        <w:right w:val="none" w:sz="0" w:space="0" w:color="auto"/>
      </w:divBdr>
      <w:divsChild>
        <w:div w:id="10416168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wikipedia.org/wiki/Codex_Theodosianus" TargetMode="External"/><Relationship Id="rId13" Type="http://schemas.openxmlformats.org/officeDocument/2006/relationships/hyperlink" Target="https://www.schule-bw.de/resolveuid/afa33234356044198ae10c4849d75f62"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thelatinlibrary.com/theodosius/theod16.shtm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hule-bw.de/resolveuid/b6f95e49915b4480b2332c94d8012295"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miqua-freunde.koeln/Publikationen/"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miqua-freunde.koeln/.cm4all/mediadb/Beitr%C3%A4ge%20zur%20rheinisch-j&#252;dischen%20Geschichte%2C%20Heft%201.pdf"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s://www.schule-bw.de/urheberrecht" TargetMode="External"/><Relationship Id="rId2" Type="http://schemas.openxmlformats.org/officeDocument/2006/relationships/hyperlink" Target="https://www.schule-bw.de" TargetMode="External"/><Relationship Id="rId1" Type="http://schemas.openxmlformats.org/officeDocument/2006/relationships/hyperlink" Target="https://creativecommons.org/licenses/by/4.0/legalcod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schule-bw.de/faecher-und-schularten/sprachen-und-literatur/latein/informationen-zum-fach/bibliographien/bibliographie-roemische-geschichte.html" TargetMode="External"/><Relationship Id="rId2" Type="http://schemas.openxmlformats.org/officeDocument/2006/relationships/hyperlink" Target="https://miqua-freunde.koeln/Publikationen/" TargetMode="External"/><Relationship Id="rId1" Type="http://schemas.openxmlformats.org/officeDocument/2006/relationships/hyperlink" Target="https://miqua-freunde.koeln/.cm4all/mediadb/Beitr%C3%A4ge%20zur%20rheinisch-j&#252;dischen%20Geschichte%2C%20Heft%201.pdf" TargetMode="External"/><Relationship Id="rId4" Type="http://schemas.openxmlformats.org/officeDocument/2006/relationships/hyperlink" Target="http://www.schule-bw.de/faecher-und-schularten/sprachen-und-literatur/latein/antike-kultur"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s://www.schule-bw.de/" TargetMode="External"/><Relationship Id="rId2" Type="http://schemas.openxmlformats.org/officeDocument/2006/relationships/image" Target="media/image1.png"/><Relationship Id="rId1" Type="http://schemas.openxmlformats.org/officeDocument/2006/relationships/hyperlink" Target="https://km-bw.de/" TargetMode="External"/><Relationship Id="rId6" Type="http://schemas.openxmlformats.org/officeDocument/2006/relationships/image" Target="media/image3.jpeg"/><Relationship Id="rId5" Type="http://schemas.openxmlformats.org/officeDocument/2006/relationships/hyperlink" Target="https://ibbw.kultus-bw.de/" TargetMode="External"/><Relationship Id="rId4"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G:\landesbildungsserver-2020\lbs-dateien%20neu\vorlagen\uebersetzung-mit-hilfen-word.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7C3608-671E-4681-ACEE-176F831F8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uebersetzung-mit-hilfen-word.dotx</Template>
  <TotalTime>0</TotalTime>
  <Pages>3</Pages>
  <Words>969</Words>
  <Characters>6111</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Der Erlass Kaiser Konstantins aus dem Jahr 321 - 1700 Jahre jüdisches Leben in Deutschland</vt:lpstr>
    </vt:vector>
  </TitlesOfParts>
  <Company/>
  <LinksUpToDate>false</LinksUpToDate>
  <CharactersWithSpaces>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 Erlass Kaiser Konstantins aus dem Jahr 321 - 1700 Jahre jüdisches Leben in Deutschland</dc:title>
  <dc:subject/>
  <dc:creator/>
  <cp:keywords/>
  <cp:lastModifiedBy/>
  <cp:revision>1</cp:revision>
  <dcterms:created xsi:type="dcterms:W3CDTF">2021-05-30T17:07:00Z</dcterms:created>
  <dcterms:modified xsi:type="dcterms:W3CDTF">2021-06-04T21:22:00Z</dcterms:modified>
</cp:coreProperties>
</file>