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"/>
        <w:gridCol w:w="3235"/>
        <w:gridCol w:w="8362"/>
        <w:gridCol w:w="1819"/>
        <w:gridCol w:w="800"/>
      </w:tblGrid>
      <w:tr w:rsidR="00CE5295" w:rsidRPr="004D3218" w14:paraId="241146C0" w14:textId="6901DE0F" w:rsidTr="00CE5295">
        <w:tc>
          <w:tcPr>
            <w:tcW w:w="4136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CA70B36" w14:textId="6D432B4B" w:rsidR="00CE5295" w:rsidRPr="00EF5CD3" w:rsidRDefault="00CE5295" w:rsidP="00CE5295">
            <w:pPr>
              <w:pStyle w:val="TTitel"/>
              <w:rPr>
                <w:sz w:val="16"/>
                <w:szCs w:val="16"/>
              </w:rPr>
            </w:pPr>
            <w:r w:rsidRPr="006002FE">
              <w:rPr>
                <w:sz w:val="28"/>
                <w:szCs w:val="28"/>
              </w:rPr>
              <w:t>Zielanalyse</w:t>
            </w:r>
            <w:r>
              <w:rPr>
                <w:sz w:val="28"/>
                <w:szCs w:val="28"/>
              </w:rPr>
              <w:t xml:space="preserve"> Wirtschaftskompetenz</w:t>
            </w:r>
          </w:p>
        </w:tc>
        <w:tc>
          <w:tcPr>
            <w:tcW w:w="864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7B0D1A6" w14:textId="7A21AA9C" w:rsidR="00CE5295" w:rsidRPr="00EF5CD3" w:rsidRDefault="00CE5295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2021</w:t>
            </w:r>
          </w:p>
        </w:tc>
      </w:tr>
      <w:tr w:rsidR="00A7489E" w:rsidRPr="004D3218" w14:paraId="241146C4" w14:textId="77777777" w:rsidTr="00CE5295">
        <w:tc>
          <w:tcPr>
            <w:tcW w:w="311" w:type="pct"/>
            <w:shd w:val="clear" w:color="auto" w:fill="D9D9D9"/>
            <w:vAlign w:val="center"/>
          </w:tcPr>
          <w:p w14:paraId="241146C1" w14:textId="4FAE3880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Kurz</w:t>
            </w:r>
          </w:p>
        </w:tc>
        <w:tc>
          <w:tcPr>
            <w:tcW w:w="4425" w:type="pct"/>
            <w:gridSpan w:val="3"/>
            <w:shd w:val="clear" w:color="auto" w:fill="D9D9D9"/>
            <w:vAlign w:val="center"/>
          </w:tcPr>
          <w:p w14:paraId="241146C2" w14:textId="39B06682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CE5295">
              <w:t>e</w:t>
            </w:r>
          </w:p>
        </w:tc>
        <w:tc>
          <w:tcPr>
            <w:tcW w:w="264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CE5295">
        <w:trPr>
          <w:trHeight w:val="153"/>
        </w:trPr>
        <w:tc>
          <w:tcPr>
            <w:tcW w:w="311" w:type="pct"/>
            <w:vAlign w:val="center"/>
          </w:tcPr>
          <w:p w14:paraId="241146C5" w14:textId="1F91C5EE" w:rsidR="00A7489E" w:rsidRPr="006002FE" w:rsidRDefault="007F17AA" w:rsidP="00AD27F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D27FC">
              <w:rPr>
                <w:sz w:val="24"/>
                <w:szCs w:val="24"/>
              </w:rPr>
              <w:t>iKo</w:t>
            </w:r>
          </w:p>
        </w:tc>
        <w:tc>
          <w:tcPr>
            <w:tcW w:w="4425" w:type="pct"/>
            <w:gridSpan w:val="3"/>
            <w:vAlign w:val="center"/>
          </w:tcPr>
          <w:p w14:paraId="241146C6" w14:textId="6C2B51B7" w:rsidR="00A7489E" w:rsidRPr="006002FE" w:rsidRDefault="00CE5295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rFonts w:eastAsia="PMingLiU"/>
                <w:color w:val="000000"/>
                <w:sz w:val="24"/>
              </w:rPr>
              <w:t>G</w:t>
            </w:r>
            <w:r w:rsidRPr="00117AEB">
              <w:rPr>
                <w:rFonts w:eastAsia="PMingLiU"/>
                <w:color w:val="000000"/>
                <w:sz w:val="24"/>
              </w:rPr>
              <w:t>ewerbliche, hauswirtschaftlich-pflegerisch-sozialpädagogische sowie landwirtschaftliche Ausbildungsberufe</w:t>
            </w:r>
          </w:p>
        </w:tc>
        <w:tc>
          <w:tcPr>
            <w:tcW w:w="264" w:type="pct"/>
            <w:vAlign w:val="center"/>
          </w:tcPr>
          <w:p w14:paraId="241146C7" w14:textId="37944125" w:rsidR="00A7489E" w:rsidRPr="004D3218" w:rsidRDefault="00F41895" w:rsidP="000970ED">
            <w:pPr>
              <w:pStyle w:val="TZielnanalyseKopf2"/>
              <w:jc w:val="right"/>
            </w:pPr>
            <w:r>
              <w:t>25</w:t>
            </w:r>
          </w:p>
        </w:tc>
      </w:tr>
      <w:tr w:rsidR="00887184" w:rsidRPr="004D3218" w14:paraId="241146CC" w14:textId="77777777" w:rsidTr="00CE5295">
        <w:tc>
          <w:tcPr>
            <w:tcW w:w="311" w:type="pct"/>
            <w:shd w:val="clear" w:color="auto" w:fill="D9D9D9"/>
            <w:vAlign w:val="center"/>
          </w:tcPr>
          <w:p w14:paraId="241146C9" w14:textId="7493908B" w:rsidR="00887184" w:rsidRPr="004D3218" w:rsidRDefault="001F0F5A" w:rsidP="001F0F5A">
            <w:pPr>
              <w:pStyle w:val="TZielnanalyseKopf"/>
            </w:pPr>
            <w:r>
              <w:t>KB-</w:t>
            </w:r>
            <w:r w:rsidR="00AD27FC" w:rsidRPr="004D3218">
              <w:t>Nr.</w:t>
            </w:r>
          </w:p>
        </w:tc>
        <w:tc>
          <w:tcPr>
            <w:tcW w:w="4425" w:type="pct"/>
            <w:gridSpan w:val="3"/>
            <w:shd w:val="clear" w:color="auto" w:fill="D9D9D9"/>
            <w:vAlign w:val="center"/>
          </w:tcPr>
          <w:p w14:paraId="241146CA" w14:textId="699CD4F3" w:rsidR="00887184" w:rsidRPr="004D3218" w:rsidRDefault="001F0F5A" w:rsidP="000970ED">
            <w:pPr>
              <w:pStyle w:val="TZielnanalyseKopf"/>
            </w:pPr>
            <w:r>
              <w:t>Kompetenzbereich (KB)</w:t>
            </w:r>
          </w:p>
        </w:tc>
        <w:tc>
          <w:tcPr>
            <w:tcW w:w="264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CE5295">
        <w:trPr>
          <w:trHeight w:val="324"/>
        </w:trPr>
        <w:tc>
          <w:tcPr>
            <w:tcW w:w="311" w:type="pct"/>
            <w:vMerge w:val="restart"/>
            <w:vAlign w:val="center"/>
          </w:tcPr>
          <w:p w14:paraId="241146CD" w14:textId="784B2052" w:rsidR="00AB093F" w:rsidRPr="006002FE" w:rsidRDefault="00AD27FC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F41895">
              <w:rPr>
                <w:sz w:val="24"/>
                <w:szCs w:val="24"/>
              </w:rPr>
              <w:t>II</w:t>
            </w:r>
          </w:p>
        </w:tc>
        <w:tc>
          <w:tcPr>
            <w:tcW w:w="4425" w:type="pct"/>
            <w:gridSpan w:val="3"/>
            <w:tcBorders>
              <w:bottom w:val="single" w:sz="4" w:space="0" w:color="auto"/>
            </w:tcBorders>
            <w:vAlign w:val="center"/>
          </w:tcPr>
          <w:p w14:paraId="241146CE" w14:textId="32D99FF3" w:rsidR="00AB093F" w:rsidRPr="00F41895" w:rsidRDefault="00F41895" w:rsidP="00F41895">
            <w:pPr>
              <w:tabs>
                <w:tab w:val="left" w:pos="1872"/>
                <w:tab w:val="left" w:pos="2720"/>
                <w:tab w:val="right" w:pos="9504"/>
              </w:tabs>
              <w:spacing w:line="246" w:lineRule="exact"/>
              <w:textAlignment w:val="baseline"/>
              <w:rPr>
                <w:rFonts w:eastAsia="PMingLiU"/>
                <w:b/>
                <w:color w:val="000000"/>
                <w:sz w:val="24"/>
                <w:lang w:eastAsia="en-US"/>
              </w:rPr>
            </w:pPr>
            <w:r w:rsidRPr="00D94259">
              <w:rPr>
                <w:rFonts w:eastAsia="PMingLiU"/>
                <w:b/>
                <w:color w:val="000000"/>
                <w:sz w:val="24"/>
              </w:rPr>
              <w:t>Wirtschaftliches Handeln in der Sozialen Marktwirtschaft beurteilen</w:t>
            </w:r>
          </w:p>
        </w:tc>
        <w:tc>
          <w:tcPr>
            <w:tcW w:w="264" w:type="pct"/>
            <w:vMerge w:val="restart"/>
            <w:vAlign w:val="center"/>
          </w:tcPr>
          <w:p w14:paraId="241146CF" w14:textId="29C906C1" w:rsidR="00AB093F" w:rsidRPr="00850772" w:rsidRDefault="00F41895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CE5295">
        <w:trPr>
          <w:trHeight w:val="58"/>
        </w:trPr>
        <w:tc>
          <w:tcPr>
            <w:tcW w:w="311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425" w:type="pct"/>
            <w:gridSpan w:val="3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64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CE5295">
        <w:trPr>
          <w:trHeight w:val="324"/>
        </w:trPr>
        <w:tc>
          <w:tcPr>
            <w:tcW w:w="311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425" w:type="pct"/>
            <w:gridSpan w:val="3"/>
          </w:tcPr>
          <w:p w14:paraId="76321D22" w14:textId="0DBB73FC" w:rsidR="007F17AA" w:rsidRPr="00AD27FC" w:rsidRDefault="00F41895" w:rsidP="00F41895">
            <w:pPr>
              <w:textAlignment w:val="baseline"/>
              <w:rPr>
                <w:rFonts w:eastAsia="PMingLiU"/>
                <w:b/>
                <w:color w:val="000000"/>
                <w:sz w:val="24"/>
                <w:lang w:eastAsia="en-US"/>
              </w:rPr>
            </w:pPr>
            <w:r w:rsidRPr="00F41895">
              <w:rPr>
                <w:rFonts w:eastAsia="PMingLiU"/>
                <w:b/>
                <w:color w:val="000000"/>
                <w:sz w:val="24"/>
                <w:lang w:eastAsia="en-US"/>
              </w:rPr>
              <w:t>Die Schülerinnen und Schüler verfügen über die Kompetenz, die Preisbildung in Abhängigkeit von der Marktform darzustellen und wirtschaftspolitisches Handeln in einer am Leitbild der Sozialen Marktwirtschaft orientierten Wirtschaftsordnung zu analysieren.</w:t>
            </w:r>
          </w:p>
        </w:tc>
        <w:tc>
          <w:tcPr>
            <w:tcW w:w="264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CE5295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3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CE5295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3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CE529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CE5295" w:rsidRPr="006D185A" w14:paraId="24114734" w14:textId="77777777" w:rsidTr="009F679B">
        <w:trPr>
          <w:trHeight w:val="1398"/>
        </w:trPr>
        <w:tc>
          <w:tcPr>
            <w:tcW w:w="1378" w:type="pct"/>
            <w:vMerge w:val="restart"/>
            <w:shd w:val="clear" w:color="auto" w:fill="auto"/>
          </w:tcPr>
          <w:p w14:paraId="2411472D" w14:textId="1EAE996A" w:rsidR="00CE5295" w:rsidRPr="00F41895" w:rsidRDefault="00CE5295" w:rsidP="00D34263">
            <w:pPr>
              <w:textAlignment w:val="baseline"/>
              <w:rPr>
                <w:rFonts w:eastAsia="PMingLiU"/>
                <w:color w:val="000000"/>
                <w:sz w:val="20"/>
                <w:szCs w:val="20"/>
                <w:lang w:eastAsia="en-US"/>
              </w:rPr>
            </w:pP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Die Schülerinnen und Schüler kennzeichnen den Markt als </w:t>
            </w:r>
            <w:r>
              <w:rPr>
                <w:rFonts w:eastAsia="PMingLiU"/>
                <w:color w:val="000000"/>
                <w:sz w:val="20"/>
                <w:szCs w:val="20"/>
                <w:lang w:eastAsia="en-US"/>
              </w:rPr>
              <w:t>Ort des Zusammentreffens von An</w:t>
            </w: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>gebot und Nachfrage sowie als Ort der Preisbildung. Sie unt</w:t>
            </w:r>
            <w:r>
              <w:rPr>
                <w:rFonts w:eastAsia="PMingLiU"/>
                <w:color w:val="000000"/>
                <w:sz w:val="20"/>
                <w:szCs w:val="20"/>
                <w:lang w:eastAsia="en-US"/>
              </w:rPr>
              <w:t>erscheiden Märkte anhand der An</w:t>
            </w: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zahl der Marktteilnehmer </w:t>
            </w:r>
            <w:r w:rsidRPr="0088773B">
              <w:rPr>
                <w:rFonts w:eastAsia="PMingLiU"/>
                <w:color w:val="000000"/>
                <w:sz w:val="20"/>
                <w:szCs w:val="20"/>
                <w:lang w:eastAsia="en-US"/>
              </w:rPr>
              <w:t>(</w:t>
            </w:r>
            <w:r w:rsidRPr="00F41895"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  <w:t>Poly</w:t>
            </w:r>
            <w:r w:rsidRPr="00F41895"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  <w:softHyphen/>
              <w:t>pol, Angebotsoligopol, Angebotsmonopol</w:t>
            </w:r>
            <w:r w:rsidRPr="0088773B">
              <w:rPr>
                <w:rFonts w:eastAsia="PMingLiU"/>
                <w:color w:val="000000"/>
                <w:sz w:val="20"/>
                <w:szCs w:val="20"/>
                <w:lang w:eastAsia="en-US"/>
              </w:rPr>
              <w:t>)</w:t>
            </w: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 und erläutern deren Verhalten. </w:t>
            </w:r>
            <w:r>
              <w:rPr>
                <w:rFonts w:eastAsia="PMingLiU"/>
                <w:color w:val="000000"/>
                <w:sz w:val="20"/>
                <w:szCs w:val="20"/>
                <w:lang w:eastAsia="en-US"/>
              </w:rPr>
              <w:t>An einem Beispiel er</w:t>
            </w: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>mitteln sie tabellarisch und</w:t>
            </w:r>
            <w:r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 grafisch Gesamtangebot, Gesamt</w:t>
            </w: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>n</w:t>
            </w:r>
            <w:r>
              <w:rPr>
                <w:rFonts w:eastAsia="PMingLiU"/>
                <w:color w:val="000000"/>
                <w:sz w:val="20"/>
                <w:szCs w:val="20"/>
                <w:lang w:eastAsia="en-US"/>
              </w:rPr>
              <w:t>achfrage und den Gleichgewichts</w:t>
            </w: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>preis bei einem Polypol auf dem vollkommenen Markt. Sie st</w:t>
            </w:r>
            <w:r>
              <w:rPr>
                <w:rFonts w:eastAsia="PMingLiU"/>
                <w:color w:val="000000"/>
                <w:sz w:val="20"/>
                <w:szCs w:val="20"/>
                <w:lang w:eastAsia="en-US"/>
              </w:rPr>
              <w:t>ellen die Auswirkungen von Ange</w:t>
            </w: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>bots- und Nachfrageänderungen auf den Gleichgewichtspreis und die Gleichgewichtsmenge dar.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411472E" w14:textId="4A877A37" w:rsidR="00CE5295" w:rsidRPr="00CC6753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018E1576" w:rsidR="00CE5295" w:rsidRPr="00CC6753" w:rsidRDefault="00CE5295" w:rsidP="00D34263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</w:t>
            </w: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B5590E">
              <w:rPr>
                <w:b/>
                <w:bCs/>
                <w:sz w:val="20"/>
                <w:szCs w:val="20"/>
              </w:rPr>
              <w:t>Marktformen systematisieren</w:t>
            </w:r>
          </w:p>
        </w:tc>
        <w:tc>
          <w:tcPr>
            <w:tcW w:w="694" w:type="pct"/>
            <w:shd w:val="clear" w:color="auto" w:fill="auto"/>
          </w:tcPr>
          <w:p w14:paraId="24114730" w14:textId="2E88C627" w:rsidR="00CE5295" w:rsidRPr="00F54C9A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 xml:space="preserve">Übersicht </w:t>
            </w:r>
          </w:p>
        </w:tc>
        <w:tc>
          <w:tcPr>
            <w:tcW w:w="880" w:type="pct"/>
            <w:shd w:val="clear" w:color="auto" w:fill="auto"/>
          </w:tcPr>
          <w:p w14:paraId="50269AC3" w14:textId="48707830" w:rsidR="00CE5295" w:rsidRDefault="00CE5295" w:rsidP="00D34263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Zusammenhänge herstellen</w:t>
            </w:r>
          </w:p>
          <w:p w14:paraId="3E59BC6C" w14:textId="77B8F7EE" w:rsidR="00CE5295" w:rsidRDefault="00CE5295" w:rsidP="00D34263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Abhängigkeiten finden</w:t>
            </w:r>
          </w:p>
          <w:p w14:paraId="0E0C6DAF" w14:textId="774EC600" w:rsidR="00D34263" w:rsidRPr="006D53B0" w:rsidRDefault="00D34263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systematisch vorgehen</w:t>
            </w:r>
          </w:p>
          <w:p w14:paraId="24114731" w14:textId="740C0773" w:rsidR="00CE5295" w:rsidRPr="00F54C9A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24114732" w14:textId="041F83EB" w:rsidR="00CE5295" w:rsidRPr="00F54C9A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3628CA26" w:rsidR="00CE5295" w:rsidRPr="00F54C9A" w:rsidRDefault="00CE5295" w:rsidP="00D34263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E5295" w:rsidRPr="006D185A" w14:paraId="162F1B78" w14:textId="77777777" w:rsidTr="008C21B5">
        <w:trPr>
          <w:trHeight w:val="1487"/>
        </w:trPr>
        <w:tc>
          <w:tcPr>
            <w:tcW w:w="1378" w:type="pct"/>
            <w:vMerge/>
            <w:shd w:val="clear" w:color="auto" w:fill="auto"/>
          </w:tcPr>
          <w:p w14:paraId="0E3D2535" w14:textId="4464C015" w:rsidR="00CE5295" w:rsidRPr="00F41895" w:rsidRDefault="00CE5295" w:rsidP="00D34263">
            <w:pPr>
              <w:textAlignment w:val="baseline"/>
              <w:rPr>
                <w:rFonts w:eastAsia="PMingLiU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AC927DC" w14:textId="77777777" w:rsidR="00CE5295" w:rsidRPr="00CC6753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20B194E" w14:textId="252C5481" w:rsidR="00CE5295" w:rsidRPr="00B5590E" w:rsidRDefault="00CE5295" w:rsidP="00D34263">
            <w:pPr>
              <w:pStyle w:val="TZielnanalysetext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LS02 </w:t>
            </w:r>
            <w:r w:rsidRPr="00B5590E">
              <w:rPr>
                <w:b/>
                <w:bCs/>
                <w:sz w:val="20"/>
                <w:szCs w:val="20"/>
              </w:rPr>
              <w:t>Börsenpreis</w:t>
            </w:r>
            <w:r>
              <w:rPr>
                <w:b/>
                <w:bCs/>
                <w:sz w:val="20"/>
                <w:szCs w:val="20"/>
              </w:rPr>
              <w:t>bildung simulieren</w:t>
            </w:r>
          </w:p>
        </w:tc>
        <w:tc>
          <w:tcPr>
            <w:tcW w:w="694" w:type="pct"/>
            <w:shd w:val="clear" w:color="auto" w:fill="auto"/>
          </w:tcPr>
          <w:p w14:paraId="649DF972" w14:textId="77777777" w:rsidR="00CE5295" w:rsidRDefault="00CE5295" w:rsidP="00D34263">
            <w:pPr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Tabelle</w:t>
            </w:r>
          </w:p>
          <w:p w14:paraId="2ED6C53D" w14:textId="1B777617" w:rsidR="00CE5295" w:rsidRPr="00B4717A" w:rsidRDefault="00CE5295" w:rsidP="00D34263">
            <w:pPr>
              <w:pStyle w:val="TZielnanalysetext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Preis-Mengen-Diagramme</w:t>
            </w:r>
          </w:p>
        </w:tc>
        <w:tc>
          <w:tcPr>
            <w:tcW w:w="880" w:type="pct"/>
            <w:shd w:val="clear" w:color="auto" w:fill="auto"/>
          </w:tcPr>
          <w:p w14:paraId="7E962908" w14:textId="7133BB82" w:rsidR="00CE5295" w:rsidRDefault="00CE5295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systematisch vorgehen</w:t>
            </w:r>
          </w:p>
          <w:p w14:paraId="68AD6AF4" w14:textId="33722F4F" w:rsidR="00CE5295" w:rsidRDefault="00CE5295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begründet vorgehen</w:t>
            </w:r>
          </w:p>
          <w:p w14:paraId="0B93A2F2" w14:textId="03521256" w:rsidR="00CE5295" w:rsidRDefault="00CE5295" w:rsidP="00D34263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Abhängigkeiten finden</w:t>
            </w:r>
          </w:p>
          <w:p w14:paraId="00599167" w14:textId="485A8C1F" w:rsidR="00CE5295" w:rsidRPr="00C142A7" w:rsidRDefault="00CE5295" w:rsidP="00D34263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72BC08A" w14:textId="2B00475B" w:rsidR="00CE5295" w:rsidRPr="00F54C9A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Börsenspiel möglich</w:t>
            </w:r>
          </w:p>
        </w:tc>
        <w:tc>
          <w:tcPr>
            <w:tcW w:w="277" w:type="pct"/>
            <w:shd w:val="clear" w:color="auto" w:fill="auto"/>
          </w:tcPr>
          <w:p w14:paraId="34861061" w14:textId="0C848BD4" w:rsidR="00CE5295" w:rsidRDefault="00CE5295" w:rsidP="00D34263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F679B" w:rsidRPr="006D185A" w14:paraId="3B269DFC" w14:textId="77777777" w:rsidTr="009F679B">
        <w:trPr>
          <w:trHeight w:val="998"/>
        </w:trPr>
        <w:tc>
          <w:tcPr>
            <w:tcW w:w="1378" w:type="pct"/>
            <w:vMerge w:val="restart"/>
            <w:shd w:val="clear" w:color="auto" w:fill="auto"/>
          </w:tcPr>
          <w:p w14:paraId="2765A62E" w14:textId="4746BD02" w:rsidR="009F679B" w:rsidRPr="00F41895" w:rsidRDefault="009F679B" w:rsidP="00D34263">
            <w:pPr>
              <w:textAlignment w:val="baseline"/>
              <w:rPr>
                <w:rFonts w:eastAsia="PMingLiU"/>
                <w:color w:val="000000"/>
                <w:sz w:val="20"/>
                <w:szCs w:val="20"/>
                <w:lang w:eastAsia="en-US"/>
              </w:rPr>
            </w:pP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Ausgehend von den Nachteilen der freien Marktpreisbildung </w:t>
            </w:r>
            <w:r>
              <w:rPr>
                <w:rFonts w:eastAsia="PMingLiU"/>
                <w:color w:val="000000"/>
                <w:sz w:val="20"/>
                <w:szCs w:val="20"/>
                <w:lang w:eastAsia="en-US"/>
              </w:rPr>
              <w:t>beschreiben sie die Einflussmög</w:t>
            </w:r>
            <w:r w:rsidRPr="00F41895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lichkeiten des Staates auf die Marktpreisbildung. 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>Darauf aufbauend kennzeich</w:t>
            </w:r>
            <w:r>
              <w:rPr>
                <w:rFonts w:eastAsia="PMingLiU"/>
                <w:color w:val="000000"/>
                <w:sz w:val="20"/>
                <w:szCs w:val="20"/>
              </w:rPr>
              <w:t>nen sie das We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>sen der Sozialen Marktwirtschaft und erklären anhand von aktuellen Beispielen die Wirkung der Instrumente der Sozialen Marktwirtschaft (</w:t>
            </w:r>
            <w:r w:rsidRPr="00F41895">
              <w:rPr>
                <w:rFonts w:eastAsia="PMingLiU"/>
                <w:i/>
                <w:color w:val="000000"/>
                <w:sz w:val="20"/>
                <w:szCs w:val="20"/>
              </w:rPr>
              <w:t>Sozialpolitik, Einkommenspolitik, Wettbewerbspolitik, Umweltpolitik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1A4ED75" w14:textId="77777777" w:rsidR="009F679B" w:rsidRPr="00CC6753" w:rsidRDefault="009F679B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F366491" w14:textId="163BC761" w:rsidR="009F679B" w:rsidRDefault="009F679B" w:rsidP="00D34263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LS03 Marktkonforme und marktkonträre Staatseingriffe beschreiben</w:t>
            </w:r>
          </w:p>
        </w:tc>
        <w:tc>
          <w:tcPr>
            <w:tcW w:w="694" w:type="pct"/>
            <w:shd w:val="clear" w:color="auto" w:fill="auto"/>
          </w:tcPr>
          <w:p w14:paraId="78CA177E" w14:textId="77777777" w:rsidR="009F679B" w:rsidRDefault="009F679B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Preis-Mengen-Diagramme</w:t>
            </w:r>
          </w:p>
          <w:p w14:paraId="54BCD7F5" w14:textId="7BF4425E" w:rsidR="009F679B" w:rsidRPr="00F54C9A" w:rsidRDefault="009F679B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Stellungnahme</w:t>
            </w:r>
          </w:p>
        </w:tc>
        <w:tc>
          <w:tcPr>
            <w:tcW w:w="880" w:type="pct"/>
            <w:shd w:val="clear" w:color="auto" w:fill="auto"/>
          </w:tcPr>
          <w:p w14:paraId="671C9D97" w14:textId="06CE1AB9" w:rsidR="009F679B" w:rsidRDefault="009F679B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Probleme eingrenzen</w:t>
            </w:r>
          </w:p>
          <w:p w14:paraId="64A30B41" w14:textId="1954D92F" w:rsidR="009F679B" w:rsidRPr="006D53B0" w:rsidRDefault="009F679B" w:rsidP="00D34263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Abhängigkeiten finden</w:t>
            </w:r>
          </w:p>
          <w:p w14:paraId="5DF3A73C" w14:textId="77777777" w:rsidR="009F679B" w:rsidRPr="006D53B0" w:rsidRDefault="009F679B" w:rsidP="00D34263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Zusammenhänge herstellen</w:t>
            </w:r>
          </w:p>
          <w:p w14:paraId="6BB5A9B5" w14:textId="5A06EF84" w:rsidR="009F679B" w:rsidRPr="009A64DB" w:rsidRDefault="009F679B" w:rsidP="00D34263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333C62DD" w14:textId="77777777" w:rsidR="009F679B" w:rsidRPr="00F54C9A" w:rsidRDefault="009F679B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EA99785" w14:textId="0AF7420F" w:rsidR="009F679B" w:rsidRPr="00F54C9A" w:rsidRDefault="009F679B" w:rsidP="00D34263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F679B" w:rsidRPr="006D185A" w14:paraId="3684FD19" w14:textId="77777777" w:rsidTr="008C21B5">
        <w:trPr>
          <w:trHeight w:val="1219"/>
        </w:trPr>
        <w:tc>
          <w:tcPr>
            <w:tcW w:w="1378" w:type="pct"/>
            <w:vMerge/>
            <w:shd w:val="clear" w:color="auto" w:fill="auto"/>
          </w:tcPr>
          <w:p w14:paraId="444DDDF4" w14:textId="0E966628" w:rsidR="009F679B" w:rsidRPr="00F41895" w:rsidRDefault="009F679B" w:rsidP="00D34263">
            <w:pPr>
              <w:textAlignment w:val="baseline"/>
              <w:rPr>
                <w:rFonts w:eastAsia="PMingLiU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A48B26D" w14:textId="77777777" w:rsidR="009F679B" w:rsidRPr="00CC6753" w:rsidRDefault="009F679B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1F2092A" w14:textId="100A2537" w:rsidR="009F679B" w:rsidRDefault="009F679B" w:rsidP="00D34263">
            <w:pPr>
              <w:pStyle w:val="TZielnanalysetext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LS04 </w:t>
            </w:r>
            <w:r w:rsidRPr="00B5590E">
              <w:rPr>
                <w:b/>
                <w:bCs/>
                <w:sz w:val="20"/>
                <w:szCs w:val="20"/>
              </w:rPr>
              <w:t>Ordnungsmerkmale der Sozialen Marktwirtschaft</w:t>
            </w:r>
            <w:r>
              <w:rPr>
                <w:b/>
                <w:bCs/>
                <w:sz w:val="20"/>
                <w:szCs w:val="20"/>
              </w:rPr>
              <w:t xml:space="preserve"> beschreibe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94" w:type="pct"/>
            <w:shd w:val="clear" w:color="auto" w:fill="auto"/>
          </w:tcPr>
          <w:p w14:paraId="78B59215" w14:textId="77777777" w:rsidR="009F679B" w:rsidRDefault="009F679B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4D567CFA" w14:textId="47CC03AB" w:rsidR="009F679B" w:rsidRPr="00F54C9A" w:rsidRDefault="009F679B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7E141ABB" w14:textId="677E0D09" w:rsidR="009F679B" w:rsidRDefault="009F679B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A5047C">
              <w:rPr>
                <w:sz w:val="20"/>
                <w:szCs w:val="20"/>
              </w:rPr>
              <w:t>Informationen nach Kriterien aufbereitet darstellen</w:t>
            </w:r>
          </w:p>
          <w:p w14:paraId="4AC12275" w14:textId="77777777" w:rsidR="009F679B" w:rsidRPr="006D53B0" w:rsidRDefault="009F679B" w:rsidP="00D34263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Zusammenhänge herstellen</w:t>
            </w:r>
          </w:p>
          <w:p w14:paraId="0A05722B" w14:textId="645269AC" w:rsidR="009F679B" w:rsidRPr="00F54C9A" w:rsidRDefault="009F679B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A5047C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DF98BF4" w14:textId="77777777" w:rsidR="009F679B" w:rsidRPr="00F54C9A" w:rsidRDefault="009F679B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97AC930" w14:textId="30D4491D" w:rsidR="009F679B" w:rsidRPr="00F54C9A" w:rsidRDefault="009F679B" w:rsidP="00D34263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E5295" w:rsidRPr="006D185A" w14:paraId="4D144180" w14:textId="77777777" w:rsidTr="008C21B5">
        <w:trPr>
          <w:trHeight w:val="1109"/>
        </w:trPr>
        <w:tc>
          <w:tcPr>
            <w:tcW w:w="1378" w:type="pct"/>
            <w:vMerge w:val="restart"/>
            <w:shd w:val="clear" w:color="auto" w:fill="auto"/>
          </w:tcPr>
          <w:p w14:paraId="03E6B3A1" w14:textId="2CBDBEB8" w:rsidR="00CE5295" w:rsidRPr="008C21B5" w:rsidRDefault="00CE5295" w:rsidP="00D34263">
            <w:pPr>
              <w:textAlignment w:val="baseline"/>
              <w:rPr>
                <w:rFonts w:eastAsia="PMingLiU"/>
                <w:color w:val="000000"/>
                <w:sz w:val="20"/>
                <w:szCs w:val="20"/>
              </w:rPr>
            </w:pPr>
            <w:r w:rsidRPr="00F41895">
              <w:rPr>
                <w:rFonts w:eastAsia="PMingLiU"/>
                <w:color w:val="000000"/>
                <w:sz w:val="20"/>
                <w:szCs w:val="20"/>
              </w:rPr>
              <w:t>Sie beschreiben die Vorgehensweise zur Ermittlung des Preisindex für die Lebenshaltung sowie den Zusammenhang zwischen Inflationsrate und Kaufkraft und die Auswirkung auf den Reallohn. Sie erklären die nicht-monetären Ursachen und die Folgen von Inflation und Deflation.</w:t>
            </w:r>
            <w:r>
              <w:rPr>
                <w:rFonts w:eastAsia="PMingLiU"/>
                <w:color w:val="000000"/>
                <w:sz w:val="20"/>
                <w:szCs w:val="20"/>
              </w:rPr>
              <w:t xml:space="preserve"> 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>Das Bruttoinlandsprodukt (</w:t>
            </w:r>
            <w:r w:rsidRPr="00F41895">
              <w:rPr>
                <w:rFonts w:eastAsia="PMingLiU"/>
                <w:i/>
                <w:color w:val="000000"/>
                <w:sz w:val="20"/>
                <w:szCs w:val="20"/>
              </w:rPr>
              <w:t>reales und nominales BIP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>) definieren die Schülerinnen und Schüler als gesamtwirtschaftliche Messgröße und nehmen zu seiner Funkt</w:t>
            </w:r>
            <w:r>
              <w:rPr>
                <w:rFonts w:eastAsia="PMingLiU"/>
                <w:color w:val="000000"/>
                <w:sz w:val="20"/>
                <w:szCs w:val="20"/>
              </w:rPr>
              <w:t>ion als Wohlstandsindikator kri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>tisch Stellung.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4485CEE7" w14:textId="77777777" w:rsidR="00CE5295" w:rsidRPr="00CC6753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5F3C39" w14:textId="55A6A3BE" w:rsidR="00CE5295" w:rsidRDefault="00CE5295" w:rsidP="00D34263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Preisindex der Lebenshaltung ermitteln und diskutieren sowie </w:t>
            </w:r>
            <w:r>
              <w:rPr>
                <w:b/>
                <w:bCs/>
                <w:sz w:val="20"/>
                <w:szCs w:val="20"/>
              </w:rPr>
              <w:t>Ursachen und Folgen von Inflation und Deflation darstellen</w:t>
            </w:r>
          </w:p>
        </w:tc>
        <w:tc>
          <w:tcPr>
            <w:tcW w:w="694" w:type="pct"/>
            <w:shd w:val="clear" w:color="auto" w:fill="auto"/>
          </w:tcPr>
          <w:p w14:paraId="63E70973" w14:textId="77777777" w:rsidR="00CE5295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65E62881" w14:textId="55BE23AE" w:rsidR="00CE5295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Präsentationen</w:t>
            </w:r>
          </w:p>
          <w:p w14:paraId="4C963B69" w14:textId="15F6DFF5" w:rsidR="00CE5295" w:rsidRPr="00CC6753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14FAD50B" w14:textId="60A1E470" w:rsidR="00CE5295" w:rsidRDefault="00CE5295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begründet vorgehen</w:t>
            </w:r>
          </w:p>
          <w:p w14:paraId="56C41D0E" w14:textId="75DF5CDF" w:rsidR="00CE5295" w:rsidRPr="006D53B0" w:rsidRDefault="00CE5295" w:rsidP="00D34263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Abhängigkeiten finden</w:t>
            </w:r>
          </w:p>
          <w:p w14:paraId="3C9B9853" w14:textId="77777777" w:rsidR="00CE5295" w:rsidRPr="006D53B0" w:rsidRDefault="00CE5295" w:rsidP="00D34263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Zusammenhänge herstellen</w:t>
            </w:r>
          </w:p>
          <w:p w14:paraId="3BDD8852" w14:textId="1A45075E" w:rsidR="00CE5295" w:rsidRDefault="00CE5295" w:rsidP="00D34263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Schlussfolgerungen ziehen</w:t>
            </w:r>
          </w:p>
          <w:p w14:paraId="653872AB" w14:textId="38A071EA" w:rsidR="00D34263" w:rsidRDefault="00D34263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sachlich argumentieren</w:t>
            </w:r>
          </w:p>
          <w:p w14:paraId="3A7209C8" w14:textId="551B272F" w:rsidR="00CE5295" w:rsidRPr="00CE5295" w:rsidRDefault="00CE5295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43EE00F1" w14:textId="44E63268" w:rsidR="00CE5295" w:rsidRPr="00CC6753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CA6FBBD" w14:textId="5A832D95" w:rsidR="00CE5295" w:rsidRPr="00CC6753" w:rsidRDefault="00CE5295" w:rsidP="00D34263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E5295" w:rsidRPr="006D185A" w14:paraId="68470FFA" w14:textId="77777777" w:rsidTr="00A5047C">
        <w:trPr>
          <w:trHeight w:val="1052"/>
        </w:trPr>
        <w:tc>
          <w:tcPr>
            <w:tcW w:w="1378" w:type="pct"/>
            <w:vMerge/>
            <w:shd w:val="clear" w:color="auto" w:fill="auto"/>
          </w:tcPr>
          <w:p w14:paraId="30A0082E" w14:textId="658A8E3A" w:rsidR="00CE5295" w:rsidRPr="00F41895" w:rsidRDefault="00CE5295" w:rsidP="00D34263">
            <w:pPr>
              <w:textAlignment w:val="baseline"/>
              <w:rPr>
                <w:rFonts w:eastAsia="PMingLiU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666971E" w14:textId="77777777" w:rsidR="00CE5295" w:rsidRPr="00CC6753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8C01B8A" w14:textId="4A20A03C" w:rsidR="00CE5295" w:rsidRDefault="00CE5295" w:rsidP="00D34263">
            <w:pPr>
              <w:pStyle w:val="TZielnanalysetext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LS06 </w:t>
            </w:r>
            <w:r w:rsidRPr="00B5590E">
              <w:rPr>
                <w:b/>
                <w:bCs/>
                <w:sz w:val="20"/>
                <w:szCs w:val="20"/>
              </w:rPr>
              <w:t>BIP als Wohlstandsindikator kritisch hinterfragen</w:t>
            </w:r>
          </w:p>
        </w:tc>
        <w:tc>
          <w:tcPr>
            <w:tcW w:w="694" w:type="pct"/>
            <w:shd w:val="clear" w:color="auto" w:fill="auto"/>
          </w:tcPr>
          <w:p w14:paraId="77B7875E" w14:textId="19D20283" w:rsidR="00CE5295" w:rsidRDefault="00CE5295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Präsentation</w:t>
            </w:r>
          </w:p>
          <w:p w14:paraId="6CED351A" w14:textId="56D115A9" w:rsidR="00CE5295" w:rsidRPr="00CC6753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01FA0">
              <w:rPr>
                <w:bCs/>
                <w:sz w:val="20"/>
                <w:szCs w:val="20"/>
              </w:rPr>
              <w:t>Diskussion</w:t>
            </w:r>
          </w:p>
        </w:tc>
        <w:tc>
          <w:tcPr>
            <w:tcW w:w="880" w:type="pct"/>
            <w:shd w:val="clear" w:color="auto" w:fill="auto"/>
          </w:tcPr>
          <w:p w14:paraId="2E38DF9E" w14:textId="77777777" w:rsidR="00CE5295" w:rsidRPr="0039100F" w:rsidRDefault="00CE5295" w:rsidP="00D34263">
            <w:pPr>
              <w:rPr>
                <w:bCs/>
                <w:sz w:val="20"/>
                <w:szCs w:val="20"/>
              </w:rPr>
            </w:pPr>
            <w:r w:rsidRPr="0039100F">
              <w:rPr>
                <w:bCs/>
                <w:sz w:val="20"/>
                <w:szCs w:val="20"/>
              </w:rPr>
              <w:t>Alternativen finden und bewerten</w:t>
            </w:r>
          </w:p>
          <w:p w14:paraId="56E78777" w14:textId="3BC80C01" w:rsidR="00CE5295" w:rsidRDefault="00CE5295" w:rsidP="00D34263">
            <w:pPr>
              <w:rPr>
                <w:bCs/>
                <w:sz w:val="20"/>
                <w:szCs w:val="20"/>
              </w:rPr>
            </w:pPr>
            <w:r w:rsidRPr="0039100F">
              <w:rPr>
                <w:bCs/>
                <w:sz w:val="20"/>
                <w:szCs w:val="20"/>
              </w:rPr>
              <w:t>sachlich argumentieren</w:t>
            </w:r>
          </w:p>
          <w:p w14:paraId="04814A39" w14:textId="58EE3205" w:rsidR="00CE5295" w:rsidRPr="0039100F" w:rsidRDefault="00CE5295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mit Medien sachgerecht umgehen</w:t>
            </w:r>
          </w:p>
          <w:p w14:paraId="0B44BC9F" w14:textId="77777777" w:rsidR="00CE5295" w:rsidRPr="00C62860" w:rsidRDefault="00CE5295" w:rsidP="00D34263">
            <w:pPr>
              <w:pStyle w:val="TZielnanalysetext"/>
              <w:spacing w:before="0" w:after="0"/>
              <w:rPr>
                <w:bCs/>
                <w:sz w:val="20"/>
                <w:szCs w:val="20"/>
              </w:rPr>
            </w:pPr>
            <w:r w:rsidRPr="00C62860">
              <w:rPr>
                <w:bCs/>
                <w:sz w:val="20"/>
                <w:szCs w:val="20"/>
              </w:rPr>
              <w:t>Urteile verantwortungsbewusst bilden</w:t>
            </w:r>
          </w:p>
          <w:p w14:paraId="631B1A95" w14:textId="4F4F8087" w:rsidR="00CE5295" w:rsidRPr="00A5047C" w:rsidRDefault="00CE5295" w:rsidP="00D34263">
            <w:pPr>
              <w:pStyle w:val="TZielnanalysetext"/>
              <w:spacing w:before="0" w:after="0"/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unterschiedliche Standpunkte tolerieren</w:t>
            </w:r>
          </w:p>
        </w:tc>
        <w:tc>
          <w:tcPr>
            <w:tcW w:w="417" w:type="pct"/>
            <w:shd w:val="clear" w:color="auto" w:fill="auto"/>
          </w:tcPr>
          <w:p w14:paraId="21D7B4F3" w14:textId="3EF1FF4A" w:rsidR="00CE5295" w:rsidRPr="00CC6753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6B459A8D" w14:textId="70FE429A" w:rsidR="00CE5295" w:rsidRPr="00CC6753" w:rsidRDefault="00CE5295" w:rsidP="00D34263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DC0801" w:rsidRPr="006D185A" w14:paraId="56443641" w14:textId="77777777" w:rsidTr="005C5C4C">
        <w:trPr>
          <w:trHeight w:val="910"/>
        </w:trPr>
        <w:tc>
          <w:tcPr>
            <w:tcW w:w="1378" w:type="pct"/>
            <w:shd w:val="clear" w:color="auto" w:fill="auto"/>
          </w:tcPr>
          <w:p w14:paraId="4F541D49" w14:textId="3C74A21E" w:rsidR="00DC0801" w:rsidRPr="00F41895" w:rsidRDefault="00DC0801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F41895">
              <w:rPr>
                <w:rFonts w:eastAsia="PMingLiU"/>
                <w:color w:val="000000"/>
                <w:sz w:val="20"/>
                <w:szCs w:val="20"/>
              </w:rPr>
              <w:t>Die Schülerinnen und Schüler beschreiben einen idealtypische</w:t>
            </w:r>
            <w:r w:rsidR="00CE5295">
              <w:rPr>
                <w:rFonts w:eastAsia="PMingLiU"/>
                <w:color w:val="000000"/>
                <w:sz w:val="20"/>
                <w:szCs w:val="20"/>
              </w:rPr>
              <w:t>n Konjunkturverlauf und verglei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 xml:space="preserve">chen diesen anhand von Indikatoren </w:t>
            </w:r>
            <w:r w:rsidRPr="0088773B">
              <w:rPr>
                <w:rFonts w:eastAsia="PMingLiU"/>
                <w:color w:val="000000"/>
                <w:sz w:val="20"/>
                <w:szCs w:val="20"/>
              </w:rPr>
              <w:t>(</w:t>
            </w:r>
            <w:r w:rsidRPr="00F41895">
              <w:rPr>
                <w:rFonts w:eastAsia="PMingLiU"/>
                <w:i/>
                <w:color w:val="000000"/>
                <w:sz w:val="20"/>
                <w:szCs w:val="20"/>
              </w:rPr>
              <w:t>Auftragseingänge, Bru</w:t>
            </w:r>
            <w:r w:rsidR="00CE5295">
              <w:rPr>
                <w:rFonts w:eastAsia="PMingLiU"/>
                <w:i/>
                <w:color w:val="000000"/>
                <w:sz w:val="20"/>
                <w:szCs w:val="20"/>
              </w:rPr>
              <w:t>ttoinlandsprodukt, Arbeitslosen</w:t>
            </w:r>
            <w:r w:rsidRPr="00F41895">
              <w:rPr>
                <w:rFonts w:eastAsia="PMingLiU"/>
                <w:i/>
                <w:color w:val="000000"/>
                <w:sz w:val="20"/>
                <w:szCs w:val="20"/>
              </w:rPr>
              <w:t>quote</w:t>
            </w:r>
            <w:r w:rsidRPr="0088773B">
              <w:rPr>
                <w:rFonts w:eastAsia="PMingLiU"/>
                <w:color w:val="000000"/>
                <w:sz w:val="20"/>
                <w:szCs w:val="20"/>
              </w:rPr>
              <w:t>)</w:t>
            </w:r>
            <w:r w:rsidRPr="00F41895">
              <w:rPr>
                <w:rFonts w:eastAsia="PMingLiU"/>
                <w:i/>
                <w:color w:val="000000"/>
                <w:sz w:val="20"/>
                <w:szCs w:val="20"/>
              </w:rPr>
              <w:t xml:space="preserve"> 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>mit der realen wirtschaftlichen Entwicklung. Sie stelle</w:t>
            </w:r>
            <w:r w:rsidR="00CE5295">
              <w:rPr>
                <w:rFonts w:eastAsia="PMingLiU"/>
                <w:color w:val="000000"/>
                <w:sz w:val="20"/>
                <w:szCs w:val="20"/>
              </w:rPr>
              <w:t>n exemplarisch Maßnahmen zur Be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 xml:space="preserve">einflussung der Konjunktur </w:t>
            </w:r>
            <w:r w:rsidRPr="00DC0801">
              <w:rPr>
                <w:rFonts w:eastAsia="PMingLiU"/>
                <w:color w:val="000000"/>
                <w:sz w:val="20"/>
                <w:szCs w:val="20"/>
              </w:rPr>
              <w:t>(</w:t>
            </w:r>
            <w:r w:rsidRPr="00F41895">
              <w:rPr>
                <w:rFonts w:eastAsia="PMingLiU"/>
                <w:i/>
                <w:color w:val="000000"/>
                <w:sz w:val="20"/>
                <w:szCs w:val="20"/>
              </w:rPr>
              <w:t>Staatsnachfrage, Einkommenssteuer</w:t>
            </w:r>
            <w:r w:rsidRPr="0088773B">
              <w:rPr>
                <w:rFonts w:eastAsia="PMingLiU"/>
                <w:color w:val="000000"/>
                <w:sz w:val="20"/>
                <w:szCs w:val="20"/>
              </w:rPr>
              <w:t>)</w:t>
            </w:r>
            <w:r w:rsidRPr="00F41895">
              <w:rPr>
                <w:rFonts w:eastAsia="PMingLiU"/>
                <w:color w:val="000000"/>
                <w:sz w:val="20"/>
                <w:szCs w:val="20"/>
              </w:rPr>
              <w:t xml:space="preserve"> dar. Dabei problematisieren sie die Auswirkungen der jeweiligen Maßnahme auf die Konjunkturindikatoren und ihre eigene Lebenssituation.</w:t>
            </w:r>
          </w:p>
        </w:tc>
        <w:tc>
          <w:tcPr>
            <w:tcW w:w="529" w:type="pct"/>
            <w:shd w:val="clear" w:color="auto" w:fill="auto"/>
          </w:tcPr>
          <w:p w14:paraId="68F4505C" w14:textId="77777777" w:rsidR="00DC0801" w:rsidRPr="00CC6753" w:rsidRDefault="00DC0801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FBBC743" w14:textId="087E7B04" w:rsidR="00DC0801" w:rsidRDefault="00DC0801" w:rsidP="00D34263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635EB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Konjunkturverlauf und konjunkturelle Maßnahmen analysieren</w:t>
            </w:r>
          </w:p>
        </w:tc>
        <w:tc>
          <w:tcPr>
            <w:tcW w:w="694" w:type="pct"/>
          </w:tcPr>
          <w:p w14:paraId="02B67059" w14:textId="3686108E" w:rsidR="009A64DB" w:rsidRDefault="009A64DB" w:rsidP="00D34263">
            <w:pPr>
              <w:pStyle w:val="TZielnanalysetext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Präsentation</w:t>
            </w:r>
          </w:p>
          <w:p w14:paraId="61D8607B" w14:textId="570F582C" w:rsidR="00DC0801" w:rsidRPr="00DC0801" w:rsidRDefault="00DC0801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DC0801">
              <w:rPr>
                <w:bCs/>
                <w:sz w:val="20"/>
                <w:szCs w:val="20"/>
              </w:rPr>
              <w:t>Analysebericht</w:t>
            </w:r>
          </w:p>
        </w:tc>
        <w:tc>
          <w:tcPr>
            <w:tcW w:w="880" w:type="pct"/>
          </w:tcPr>
          <w:p w14:paraId="02DB7087" w14:textId="77777777" w:rsidR="00DC0801" w:rsidRPr="00DC0801" w:rsidRDefault="00DC0801" w:rsidP="00D34263">
            <w:pPr>
              <w:pStyle w:val="Textkrper2"/>
              <w:jc w:val="left"/>
              <w:rPr>
                <w:bCs/>
                <w:szCs w:val="20"/>
              </w:rPr>
            </w:pPr>
            <w:r w:rsidRPr="00DC0801">
              <w:rPr>
                <w:bCs/>
                <w:szCs w:val="20"/>
              </w:rPr>
              <w:t>Zusammenhänge herstellen</w:t>
            </w:r>
          </w:p>
          <w:p w14:paraId="3778A869" w14:textId="77777777" w:rsidR="00DC0801" w:rsidRPr="00DC0801" w:rsidRDefault="00DC0801" w:rsidP="00D34263">
            <w:pPr>
              <w:pStyle w:val="Textkrper2"/>
              <w:jc w:val="left"/>
              <w:rPr>
                <w:bCs/>
                <w:szCs w:val="20"/>
              </w:rPr>
            </w:pPr>
            <w:r w:rsidRPr="00DC0801">
              <w:rPr>
                <w:bCs/>
                <w:szCs w:val="20"/>
              </w:rPr>
              <w:t>systematisch vorgehen</w:t>
            </w:r>
          </w:p>
          <w:p w14:paraId="2AE194EC" w14:textId="0AB466CA" w:rsidR="00DC0801" w:rsidRDefault="00DC0801" w:rsidP="00D34263">
            <w:pPr>
              <w:pStyle w:val="Textkrper2"/>
              <w:jc w:val="left"/>
              <w:rPr>
                <w:bCs/>
                <w:szCs w:val="20"/>
              </w:rPr>
            </w:pPr>
            <w:r w:rsidRPr="00DC0801">
              <w:rPr>
                <w:bCs/>
                <w:szCs w:val="20"/>
              </w:rPr>
              <w:t>Zustände untersuchen</w:t>
            </w:r>
          </w:p>
          <w:p w14:paraId="45EDCCB1" w14:textId="77777777" w:rsidR="00DC0801" w:rsidRPr="00DC0801" w:rsidRDefault="00DC0801" w:rsidP="00D34263">
            <w:pPr>
              <w:pStyle w:val="Textkrper2"/>
              <w:jc w:val="left"/>
              <w:rPr>
                <w:bCs/>
                <w:szCs w:val="20"/>
              </w:rPr>
            </w:pPr>
            <w:r w:rsidRPr="00DC0801">
              <w:rPr>
                <w:bCs/>
                <w:szCs w:val="20"/>
              </w:rPr>
              <w:t xml:space="preserve">Probleme eingrenzen </w:t>
            </w:r>
          </w:p>
          <w:p w14:paraId="4A2FF6FA" w14:textId="77777777" w:rsidR="00DC0801" w:rsidRDefault="00DC0801" w:rsidP="00D34263">
            <w:pPr>
              <w:pStyle w:val="TZielnanalysetext"/>
              <w:spacing w:before="0" w:after="0"/>
              <w:rPr>
                <w:bCs/>
                <w:sz w:val="20"/>
                <w:szCs w:val="20"/>
              </w:rPr>
            </w:pPr>
            <w:r w:rsidRPr="00DC0801">
              <w:rPr>
                <w:bCs/>
                <w:sz w:val="20"/>
                <w:szCs w:val="20"/>
              </w:rPr>
              <w:t>Abhängigkeiten finden</w:t>
            </w:r>
          </w:p>
          <w:p w14:paraId="76C03CF0" w14:textId="77777777" w:rsidR="00CE5295" w:rsidRPr="0039100F" w:rsidRDefault="00CE5295" w:rsidP="00D34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mit Medien sachgerecht umgehen</w:t>
            </w:r>
          </w:p>
          <w:p w14:paraId="44FA345C" w14:textId="30586539" w:rsidR="00CE5295" w:rsidRPr="00DC0801" w:rsidRDefault="00CE5295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14:paraId="4DB799EB" w14:textId="7C12C31A" w:rsidR="00DC0801" w:rsidRPr="00DC0801" w:rsidRDefault="00DC0801" w:rsidP="00D34263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14:paraId="1798A6D0" w14:textId="2615456C" w:rsidR="00DC0801" w:rsidRPr="00DC0801" w:rsidRDefault="00DC0801" w:rsidP="00D34263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DC0801">
              <w:rPr>
                <w:sz w:val="20"/>
                <w:szCs w:val="20"/>
              </w:rPr>
              <w:t>03</w:t>
            </w:r>
          </w:p>
        </w:tc>
      </w:tr>
    </w:tbl>
    <w:p w14:paraId="7BB3CDC1" w14:textId="0034C6FA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footerReference w:type="default" r:id="rId12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56D5" w14:textId="77777777" w:rsidR="000111A9" w:rsidRDefault="000111A9" w:rsidP="00EF2F4F">
      <w:pPr>
        <w:pStyle w:val="Textkrper2"/>
      </w:pPr>
      <w:r>
        <w:separator/>
      </w:r>
    </w:p>
  </w:endnote>
  <w:endnote w:type="continuationSeparator" w:id="0">
    <w:p w14:paraId="6650852F" w14:textId="77777777" w:rsidR="000111A9" w:rsidRDefault="000111A9" w:rsidP="00EF2F4F">
      <w:pPr>
        <w:pStyle w:val="Textkrper2"/>
      </w:pPr>
      <w:r>
        <w:continuationSeparator/>
      </w:r>
    </w:p>
  </w:endnote>
  <w:endnote w:type="continuationNotice" w:id="1">
    <w:p w14:paraId="6A37A652" w14:textId="77777777" w:rsidR="000111A9" w:rsidRDefault="00011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4246454B"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9F679B">
            <w:rPr>
              <w:noProof/>
              <w:sz w:val="14"/>
              <w:szCs w:val="14"/>
              <w:lang w:eastAsia="en-US"/>
            </w:rPr>
            <w:t>WiKo-KB 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4FDD824C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74339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74339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611A205" w:rsidR="006E25DF" w:rsidRPr="0021793E" w:rsidRDefault="006E25DF" w:rsidP="003719A3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DB1E" w14:textId="77777777" w:rsidR="000111A9" w:rsidRDefault="000111A9" w:rsidP="00EF2F4F">
      <w:pPr>
        <w:pStyle w:val="Textkrper2"/>
      </w:pPr>
      <w:r>
        <w:separator/>
      </w:r>
    </w:p>
  </w:footnote>
  <w:footnote w:type="continuationSeparator" w:id="0">
    <w:p w14:paraId="4BA69A32" w14:textId="77777777" w:rsidR="000111A9" w:rsidRDefault="000111A9" w:rsidP="00EF2F4F">
      <w:pPr>
        <w:pStyle w:val="Textkrper2"/>
      </w:pPr>
      <w:r>
        <w:continuationSeparator/>
      </w:r>
    </w:p>
  </w:footnote>
  <w:footnote w:type="continuationNotice" w:id="1">
    <w:p w14:paraId="42131942" w14:textId="77777777" w:rsidR="000111A9" w:rsidRDefault="000111A9"/>
  </w:footnote>
  <w:footnote w:id="2">
    <w:p w14:paraId="6C6BAE87" w14:textId="74A844B7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A64DB" w:rsidRPr="003D3643">
        <w:rPr>
          <w:sz w:val="18"/>
        </w:rPr>
        <w:t>Ministerium für Kultus, Jugen</w:t>
      </w:r>
      <w:r w:rsidR="009A64DB">
        <w:rPr>
          <w:sz w:val="18"/>
        </w:rPr>
        <w:t xml:space="preserve">d und Sport Baden-Württemberg </w:t>
      </w:r>
      <w:r w:rsidR="009A64DB" w:rsidRPr="003D3643">
        <w:rPr>
          <w:sz w:val="18"/>
        </w:rPr>
        <w:t>(20</w:t>
      </w:r>
      <w:r w:rsidR="009A64DB">
        <w:rPr>
          <w:sz w:val="18"/>
        </w:rPr>
        <w:t>16</w:t>
      </w:r>
      <w:r w:rsidR="009A64DB" w:rsidRPr="003D3643">
        <w:rPr>
          <w:sz w:val="18"/>
        </w:rPr>
        <w:t xml:space="preserve">): </w:t>
      </w:r>
      <w:r w:rsidR="009A64DB" w:rsidRPr="00E777E3">
        <w:rPr>
          <w:sz w:val="18"/>
        </w:rPr>
        <w:t>Bildungsplan für die</w:t>
      </w:r>
      <w:r w:rsidR="009A64DB">
        <w:rPr>
          <w:sz w:val="18"/>
        </w:rPr>
        <w:t xml:space="preserve"> </w:t>
      </w:r>
      <w:r w:rsidR="009A64DB" w:rsidRPr="00E777E3">
        <w:rPr>
          <w:sz w:val="18"/>
        </w:rPr>
        <w:t>gewerblichen, hauswirtschaftlich-pflegerisch-sozialpädagogischen sowie landwirtschaftlichen Berufsschulen</w:t>
      </w:r>
      <w:r w:rsidR="009A64DB" w:rsidRPr="003D3643">
        <w:rPr>
          <w:sz w:val="18"/>
        </w:rPr>
        <w:t>,</w:t>
      </w:r>
      <w:r w:rsidR="009A64DB">
        <w:rPr>
          <w:sz w:val="18"/>
        </w:rPr>
        <w:t xml:space="preserve"> Heft 3, Wirtschaftskompetenz, Schuljahr 1, 2 und 3,</w:t>
      </w:r>
      <w:r w:rsidR="009A64DB" w:rsidRPr="003D3643">
        <w:rPr>
          <w:sz w:val="18"/>
        </w:rPr>
        <w:t xml:space="preserve"> </w:t>
      </w:r>
      <w:r w:rsidR="009A64DB" w:rsidRPr="00127B96">
        <w:rPr>
          <w:sz w:val="18"/>
        </w:rPr>
        <w:t>S. 1</w:t>
      </w:r>
      <w:r w:rsidR="009A64DB">
        <w:rPr>
          <w:sz w:val="18"/>
        </w:rPr>
        <w:t>3</w:t>
      </w:r>
      <w:r w:rsidR="009A64DB" w:rsidRPr="00127B96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52C4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20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54320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6395"/>
    <w:rsid w:val="001435BE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0F5A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2273C"/>
    <w:rsid w:val="00232952"/>
    <w:rsid w:val="00232D95"/>
    <w:rsid w:val="00240BC3"/>
    <w:rsid w:val="00240C2A"/>
    <w:rsid w:val="002432D4"/>
    <w:rsid w:val="00245052"/>
    <w:rsid w:val="002472D8"/>
    <w:rsid w:val="00247F47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19A3"/>
    <w:rsid w:val="00375731"/>
    <w:rsid w:val="00375BD3"/>
    <w:rsid w:val="003828D8"/>
    <w:rsid w:val="00385547"/>
    <w:rsid w:val="003957B7"/>
    <w:rsid w:val="00395DD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7B9"/>
    <w:rsid w:val="00442DBA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1154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45D8"/>
    <w:rsid w:val="00576B4A"/>
    <w:rsid w:val="005779BB"/>
    <w:rsid w:val="00583EA5"/>
    <w:rsid w:val="0058481C"/>
    <w:rsid w:val="005855AE"/>
    <w:rsid w:val="00585AF2"/>
    <w:rsid w:val="00585F88"/>
    <w:rsid w:val="0059572A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06B8"/>
    <w:rsid w:val="00611FDE"/>
    <w:rsid w:val="00622A4D"/>
    <w:rsid w:val="00624308"/>
    <w:rsid w:val="00626CF8"/>
    <w:rsid w:val="00635EB2"/>
    <w:rsid w:val="0064536F"/>
    <w:rsid w:val="0064550B"/>
    <w:rsid w:val="006476CF"/>
    <w:rsid w:val="00647B6F"/>
    <w:rsid w:val="00650686"/>
    <w:rsid w:val="00657A2A"/>
    <w:rsid w:val="00664009"/>
    <w:rsid w:val="00667BC4"/>
    <w:rsid w:val="00674339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7306C9"/>
    <w:rsid w:val="0073191C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0900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8773B"/>
    <w:rsid w:val="008904F7"/>
    <w:rsid w:val="008A2535"/>
    <w:rsid w:val="008B038C"/>
    <w:rsid w:val="008B309D"/>
    <w:rsid w:val="008B767C"/>
    <w:rsid w:val="008C21B5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4DB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679B"/>
    <w:rsid w:val="009F6E4D"/>
    <w:rsid w:val="00A01BE7"/>
    <w:rsid w:val="00A06330"/>
    <w:rsid w:val="00A0654B"/>
    <w:rsid w:val="00A107F5"/>
    <w:rsid w:val="00A11484"/>
    <w:rsid w:val="00A13455"/>
    <w:rsid w:val="00A20F13"/>
    <w:rsid w:val="00A22E11"/>
    <w:rsid w:val="00A23230"/>
    <w:rsid w:val="00A23DFC"/>
    <w:rsid w:val="00A414F8"/>
    <w:rsid w:val="00A5047C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27FC"/>
    <w:rsid w:val="00AD5960"/>
    <w:rsid w:val="00AD6BA6"/>
    <w:rsid w:val="00AE29F6"/>
    <w:rsid w:val="00AF1378"/>
    <w:rsid w:val="00B02B5B"/>
    <w:rsid w:val="00B06D68"/>
    <w:rsid w:val="00B070EE"/>
    <w:rsid w:val="00B07CBB"/>
    <w:rsid w:val="00B10ECB"/>
    <w:rsid w:val="00B11580"/>
    <w:rsid w:val="00B15092"/>
    <w:rsid w:val="00B211FB"/>
    <w:rsid w:val="00B3109E"/>
    <w:rsid w:val="00B447BE"/>
    <w:rsid w:val="00B44FDB"/>
    <w:rsid w:val="00B47C61"/>
    <w:rsid w:val="00B555BE"/>
    <w:rsid w:val="00B81461"/>
    <w:rsid w:val="00B815B4"/>
    <w:rsid w:val="00B86942"/>
    <w:rsid w:val="00B93801"/>
    <w:rsid w:val="00B94272"/>
    <w:rsid w:val="00BB3A7F"/>
    <w:rsid w:val="00BB61E5"/>
    <w:rsid w:val="00BC136C"/>
    <w:rsid w:val="00BC1944"/>
    <w:rsid w:val="00BC3D5D"/>
    <w:rsid w:val="00BD6DEF"/>
    <w:rsid w:val="00BD73EC"/>
    <w:rsid w:val="00C07674"/>
    <w:rsid w:val="00C07956"/>
    <w:rsid w:val="00C1227A"/>
    <w:rsid w:val="00C300C0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C6753"/>
    <w:rsid w:val="00CD10FF"/>
    <w:rsid w:val="00CD6DCA"/>
    <w:rsid w:val="00CD6F22"/>
    <w:rsid w:val="00CE4221"/>
    <w:rsid w:val="00CE5295"/>
    <w:rsid w:val="00CE6334"/>
    <w:rsid w:val="00CF03E4"/>
    <w:rsid w:val="00CF2F4A"/>
    <w:rsid w:val="00CF3076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4263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94259"/>
    <w:rsid w:val="00DA0B18"/>
    <w:rsid w:val="00DA4494"/>
    <w:rsid w:val="00DB1071"/>
    <w:rsid w:val="00DC0801"/>
    <w:rsid w:val="00DD0C16"/>
    <w:rsid w:val="00DE26C6"/>
    <w:rsid w:val="00DE44C8"/>
    <w:rsid w:val="00DE501B"/>
    <w:rsid w:val="00E01BC6"/>
    <w:rsid w:val="00E1080A"/>
    <w:rsid w:val="00E133C4"/>
    <w:rsid w:val="00E23184"/>
    <w:rsid w:val="00E233FE"/>
    <w:rsid w:val="00E27E57"/>
    <w:rsid w:val="00E30B8F"/>
    <w:rsid w:val="00E333E7"/>
    <w:rsid w:val="00E360A9"/>
    <w:rsid w:val="00E36DD1"/>
    <w:rsid w:val="00E52E1C"/>
    <w:rsid w:val="00E54662"/>
    <w:rsid w:val="00E67B7B"/>
    <w:rsid w:val="00E777E3"/>
    <w:rsid w:val="00E81D08"/>
    <w:rsid w:val="00E82F74"/>
    <w:rsid w:val="00E84190"/>
    <w:rsid w:val="00E933F8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692"/>
    <w:rsid w:val="00F16D40"/>
    <w:rsid w:val="00F27060"/>
    <w:rsid w:val="00F41895"/>
    <w:rsid w:val="00F43EDC"/>
    <w:rsid w:val="00F54C9A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5295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537B87-577A-4230-92E8-5F3E033E36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4350F8-2333-4BB2-85AC-E336FE8E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3751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2021-09-20T11:17:00Z</cp:lastPrinted>
  <dcterms:created xsi:type="dcterms:W3CDTF">2020-11-06T10:54:00Z</dcterms:created>
  <dcterms:modified xsi:type="dcterms:W3CDTF">2021-09-20T12:02:00Z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