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58CB" w14:textId="77777777" w:rsidR="008B382D" w:rsidRPr="00A96A23" w:rsidRDefault="008B382D" w:rsidP="008B382D">
      <w:pPr>
        <w:pStyle w:val="berschrift1"/>
        <w:rPr>
          <w:lang w:val="fr-FR"/>
        </w:rPr>
      </w:pPr>
      <w:r w:rsidRPr="00A96A23">
        <w:rPr>
          <w:lang w:val="fr-FR"/>
        </w:rPr>
        <w:t xml:space="preserve">Le Traité de </w:t>
      </w:r>
      <w:proofErr w:type="spellStart"/>
      <w:r w:rsidRPr="008B382D">
        <w:t>l’Élysée</w:t>
      </w:r>
      <w:proofErr w:type="spellEnd"/>
      <w:r w:rsidRPr="00A96A23">
        <w:rPr>
          <w:lang w:val="fr-FR"/>
        </w:rPr>
        <w:t xml:space="preserve"> (ab </w:t>
      </w:r>
      <w:proofErr w:type="spellStart"/>
      <w:r w:rsidRPr="00A96A23">
        <w:rPr>
          <w:lang w:val="fr-FR"/>
        </w:rPr>
        <w:t>Klasse</w:t>
      </w:r>
      <w:proofErr w:type="spellEnd"/>
      <w:r w:rsidRPr="00A96A23">
        <w:rPr>
          <w:lang w:val="fr-FR"/>
        </w:rPr>
        <w:t xml:space="preserve"> 10)</w:t>
      </w:r>
    </w:p>
    <w:p w14:paraId="587E39B0" w14:textId="77777777" w:rsidR="008B382D" w:rsidRPr="00A96A23" w:rsidRDefault="008B382D" w:rsidP="008B382D">
      <w:pPr>
        <w:pStyle w:val="berschrift2"/>
        <w:rPr>
          <w:lang w:val="fr-FR"/>
        </w:rPr>
      </w:pPr>
      <w:r w:rsidRPr="00A96A23">
        <w:rPr>
          <w:lang w:val="fr-FR"/>
        </w:rPr>
        <w:t xml:space="preserve">Le </w:t>
      </w:r>
      <w:proofErr w:type="spellStart"/>
      <w:r w:rsidRPr="008B382D">
        <w:t>début</w:t>
      </w:r>
      <w:proofErr w:type="spellEnd"/>
      <w:r w:rsidRPr="00A96A23">
        <w:rPr>
          <w:lang w:val="fr-FR"/>
        </w:rPr>
        <w:t xml:space="preserve"> de </w:t>
      </w:r>
      <w:proofErr w:type="spellStart"/>
      <w:r w:rsidRPr="008B382D">
        <w:t>l’amitié</w:t>
      </w:r>
      <w:proofErr w:type="spellEnd"/>
      <w:r w:rsidRPr="00A96A23">
        <w:rPr>
          <w:lang w:val="fr-FR"/>
        </w:rPr>
        <w:t xml:space="preserve"> franco-allemande</w:t>
      </w:r>
      <w:r w:rsidRPr="00A96A23">
        <w:rPr>
          <w:rStyle w:val="Funotenzeichen"/>
          <w:rFonts w:ascii="Times New Roman" w:hAnsi="Times New Roman" w:cs="Times New Roman"/>
          <w:lang w:val="fr-FR"/>
        </w:rPr>
        <w:footnoteReference w:id="1"/>
      </w:r>
    </w:p>
    <w:p w14:paraId="7D77FBE3" w14:textId="3CBA1B79" w:rsidR="008B382D" w:rsidRPr="00A96A23" w:rsidRDefault="008B382D" w:rsidP="00A45561">
      <w:pPr>
        <w:spacing w:before="100" w:beforeAutospacing="1" w:after="100" w:afterAutospacing="1"/>
        <w:jc w:val="both"/>
        <w:rPr>
          <w:rFonts w:ascii="Times New Roman" w:hAnsi="Times New Roman"/>
          <w:szCs w:val="24"/>
          <w:lang w:val="fr-FR"/>
        </w:rPr>
      </w:pPr>
      <w:bookmarkStart w:id="0" w:name="_Hlk125814156"/>
      <w:r w:rsidRPr="00A96A23"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08B47C8D" wp14:editId="6474EEBC">
            <wp:simplePos x="0" y="0"/>
            <wp:positionH relativeFrom="column">
              <wp:posOffset>4605020</wp:posOffset>
            </wp:positionH>
            <wp:positionV relativeFrom="paragraph">
              <wp:posOffset>154305</wp:posOffset>
            </wp:positionV>
            <wp:extent cx="1879200" cy="1184400"/>
            <wp:effectExtent l="0" t="0" r="698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6A23">
        <w:rPr>
          <w:rFonts w:ascii="Times New Roman" w:hAnsi="Times New Roman"/>
          <w:szCs w:val="24"/>
          <w:lang w:val="fr-FR"/>
        </w:rPr>
        <w:t>Le 22 janvier 1963, le traité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"/>
      </w:r>
      <w:r w:rsidRPr="00A96A23">
        <w:rPr>
          <w:rFonts w:ascii="Times New Roman" w:hAnsi="Times New Roman"/>
          <w:szCs w:val="24"/>
          <w:lang w:val="fr-FR"/>
        </w:rPr>
        <w:t xml:space="preserve"> sur la coopération franco-allemande (dit Traité de l’Élysée) a été signé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3"/>
      </w:r>
      <w:r w:rsidRPr="00A96A23">
        <w:rPr>
          <w:rFonts w:ascii="Times New Roman" w:hAnsi="Times New Roman"/>
          <w:szCs w:val="24"/>
          <w:lang w:val="fr-FR"/>
        </w:rPr>
        <w:t xml:space="preserve"> au Palais de l’Élysée à Paris par Konrad Adenauer, chancelier de la RFA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4"/>
      </w:r>
      <w:r w:rsidRPr="00A96A23">
        <w:rPr>
          <w:rFonts w:ascii="Times New Roman" w:hAnsi="Times New Roman"/>
          <w:szCs w:val="24"/>
          <w:lang w:val="fr-FR"/>
        </w:rPr>
        <w:t xml:space="preserve">, et Charles de Gaulle, président de la République française. </w:t>
      </w:r>
      <w:bookmarkEnd w:id="0"/>
      <w:r w:rsidRPr="00A96A23">
        <w:rPr>
          <w:rFonts w:ascii="Times New Roman" w:hAnsi="Times New Roman"/>
          <w:szCs w:val="24"/>
          <w:lang w:val="fr-FR"/>
        </w:rPr>
        <w:t>Ce traité franco-allemand marque le début des relations amicales entre les deux pays. Il répond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5"/>
      </w:r>
      <w:r w:rsidRPr="00A96A23">
        <w:rPr>
          <w:rFonts w:ascii="Times New Roman" w:hAnsi="Times New Roman"/>
          <w:szCs w:val="24"/>
          <w:lang w:val="fr-FR"/>
        </w:rPr>
        <w:t xml:space="preserve"> à trois objectifs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6"/>
      </w:r>
      <w:r w:rsidRPr="00A96A23">
        <w:rPr>
          <w:rFonts w:ascii="Times New Roman" w:hAnsi="Times New Roman"/>
          <w:szCs w:val="24"/>
          <w:lang w:val="fr-FR"/>
        </w:rPr>
        <w:t>, exposés dans la brève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7"/>
      </w:r>
      <w:r w:rsidRPr="00A96A23">
        <w:rPr>
          <w:rFonts w:ascii="Times New Roman" w:hAnsi="Times New Roman"/>
          <w:szCs w:val="24"/>
          <w:lang w:val="fr-FR"/>
        </w:rPr>
        <w:t xml:space="preserve"> Déclaration commune qui accompagne le traité :</w:t>
      </w:r>
    </w:p>
    <w:p w14:paraId="7F072354" w14:textId="77777777" w:rsidR="008B382D" w:rsidRPr="00A96A23" w:rsidRDefault="008B382D" w:rsidP="00A45561">
      <w:pPr>
        <w:pStyle w:val="Listenabsatz"/>
        <w:numPr>
          <w:ilvl w:val="0"/>
          <w:numId w:val="2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A96A23">
        <w:rPr>
          <w:rFonts w:ascii="Times New Roman" w:hAnsi="Times New Roman"/>
          <w:sz w:val="24"/>
          <w:szCs w:val="24"/>
          <w:lang w:val="fr-FR"/>
        </w:rPr>
        <w:t>sceller</w:t>
      </w:r>
      <w:proofErr w:type="gramEnd"/>
      <w:r w:rsidRPr="00A96A23">
        <w:rPr>
          <w:rStyle w:val="Funotenzeichen"/>
          <w:rFonts w:ascii="Times New Roman" w:hAnsi="Times New Roman"/>
          <w:sz w:val="24"/>
          <w:szCs w:val="24"/>
          <w:lang w:val="fr-FR"/>
        </w:rPr>
        <w:footnoteReference w:id="8"/>
      </w:r>
      <w:r w:rsidRPr="00A96A23">
        <w:rPr>
          <w:rFonts w:ascii="Times New Roman" w:hAnsi="Times New Roman"/>
          <w:sz w:val="24"/>
          <w:szCs w:val="24"/>
          <w:lang w:val="fr-FR"/>
        </w:rPr>
        <w:t xml:space="preserve"> symboliquement la réconciliation</w:t>
      </w:r>
      <w:r w:rsidRPr="00A96A23">
        <w:rPr>
          <w:rStyle w:val="Funotenzeichen"/>
          <w:rFonts w:ascii="Times New Roman" w:hAnsi="Times New Roman"/>
          <w:sz w:val="24"/>
          <w:szCs w:val="24"/>
          <w:lang w:val="fr-FR"/>
        </w:rPr>
        <w:footnoteReference w:id="9"/>
      </w:r>
      <w:r w:rsidRPr="00A96A23">
        <w:rPr>
          <w:rFonts w:ascii="Times New Roman" w:hAnsi="Times New Roman"/>
          <w:sz w:val="24"/>
          <w:szCs w:val="24"/>
          <w:lang w:val="fr-FR"/>
        </w:rPr>
        <w:t xml:space="preserve"> franco-allemande</w:t>
      </w:r>
    </w:p>
    <w:p w14:paraId="4FE3550F" w14:textId="77777777" w:rsidR="008B382D" w:rsidRPr="00A96A23" w:rsidRDefault="008B382D" w:rsidP="00A45561">
      <w:pPr>
        <w:numPr>
          <w:ilvl w:val="0"/>
          <w:numId w:val="2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  <w:lang w:val="fr-FR"/>
        </w:rPr>
      </w:pPr>
      <w:proofErr w:type="gramStart"/>
      <w:r w:rsidRPr="00A96A23">
        <w:rPr>
          <w:rFonts w:ascii="Times New Roman" w:hAnsi="Times New Roman"/>
          <w:szCs w:val="24"/>
          <w:lang w:val="fr-FR"/>
        </w:rPr>
        <w:t>créer</w:t>
      </w:r>
      <w:proofErr w:type="gramEnd"/>
      <w:r w:rsidRPr="00A96A23">
        <w:rPr>
          <w:rFonts w:ascii="Times New Roman" w:hAnsi="Times New Roman"/>
          <w:szCs w:val="24"/>
          <w:lang w:val="fr-FR"/>
        </w:rPr>
        <w:t xml:space="preserve"> entre les deux peuples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10"/>
      </w:r>
      <w:r w:rsidRPr="00A96A23">
        <w:rPr>
          <w:rFonts w:ascii="Times New Roman" w:hAnsi="Times New Roman"/>
          <w:szCs w:val="24"/>
          <w:lang w:val="fr-FR"/>
        </w:rPr>
        <w:t>, et en particulier entre leurs jeunesses, une véritable amitié</w:t>
      </w:r>
    </w:p>
    <w:p w14:paraId="5F4310EA" w14:textId="77777777" w:rsidR="008B382D" w:rsidRPr="00A96A23" w:rsidRDefault="008B382D" w:rsidP="00A45561">
      <w:pPr>
        <w:numPr>
          <w:ilvl w:val="0"/>
          <w:numId w:val="2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  <w:lang w:val="fr-FR"/>
        </w:rPr>
      </w:pPr>
      <w:proofErr w:type="gramStart"/>
      <w:r w:rsidRPr="00A96A23">
        <w:rPr>
          <w:rFonts w:ascii="Times New Roman" w:hAnsi="Times New Roman"/>
          <w:szCs w:val="24"/>
          <w:lang w:val="fr-FR"/>
        </w:rPr>
        <w:t>favoriser</w:t>
      </w:r>
      <w:proofErr w:type="gramEnd"/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11"/>
      </w:r>
      <w:r w:rsidRPr="00A96A23">
        <w:rPr>
          <w:rFonts w:ascii="Times New Roman" w:hAnsi="Times New Roman"/>
          <w:szCs w:val="24"/>
          <w:lang w:val="fr-FR"/>
        </w:rPr>
        <w:t xml:space="preserve"> ainsi la « construction de l’Europe unie, 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12"/>
      </w:r>
      <w:r w:rsidRPr="00A96A23">
        <w:rPr>
          <w:rFonts w:ascii="Times New Roman" w:hAnsi="Times New Roman"/>
          <w:szCs w:val="24"/>
          <w:lang w:val="fr-FR"/>
        </w:rPr>
        <w:t xml:space="preserve"> qui est le but 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13"/>
      </w:r>
      <w:r w:rsidRPr="00A96A23">
        <w:rPr>
          <w:rFonts w:ascii="Times New Roman" w:hAnsi="Times New Roman"/>
          <w:szCs w:val="24"/>
          <w:lang w:val="fr-FR"/>
        </w:rPr>
        <w:t xml:space="preserve"> des deux peuples»</w:t>
      </w:r>
    </w:p>
    <w:p w14:paraId="2AECD380" w14:textId="61AAF6AB" w:rsidR="008B382D" w:rsidRPr="00A45561" w:rsidRDefault="008B382D" w:rsidP="00A45561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141414"/>
          <w:szCs w:val="24"/>
          <w:shd w:val="clear" w:color="auto" w:fill="FFFFFF"/>
          <w:lang w:val="fr-FR"/>
        </w:rPr>
      </w:pPr>
      <w:r w:rsidRPr="00A45561">
        <w:rPr>
          <w:rFonts w:ascii="Times New Roman" w:hAnsi="Times New Roman"/>
          <w:szCs w:val="24"/>
          <w:lang w:val="fr-FR"/>
        </w:rPr>
        <w:t>Depuis, beaucoup de villes, d‘écoles et d‘universités allemandes et françaises se sont jumelées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14"/>
      </w:r>
      <w:r w:rsidRPr="00A45561">
        <w:rPr>
          <w:rFonts w:ascii="Times New Roman" w:hAnsi="Times New Roman"/>
          <w:szCs w:val="24"/>
          <w:lang w:val="fr-FR"/>
        </w:rPr>
        <w:t>. L’Office franco-allemand pour la jeunesse (OFAJ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15"/>
      </w:r>
      <w:r w:rsidRPr="00A45561">
        <w:rPr>
          <w:rFonts w:ascii="Times New Roman" w:hAnsi="Times New Roman"/>
          <w:szCs w:val="24"/>
          <w:lang w:val="fr-FR"/>
        </w:rPr>
        <w:t>), qui avait été créé en 1963, a permis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16"/>
      </w:r>
      <w:r w:rsidRPr="00A45561">
        <w:rPr>
          <w:rFonts w:ascii="Times New Roman" w:hAnsi="Times New Roman"/>
          <w:szCs w:val="24"/>
          <w:lang w:val="fr-FR"/>
        </w:rPr>
        <w:t xml:space="preserve"> à des millions de jeunes de participer à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17"/>
      </w:r>
      <w:r w:rsidRPr="00A45561">
        <w:rPr>
          <w:rFonts w:ascii="Times New Roman" w:hAnsi="Times New Roman"/>
          <w:szCs w:val="24"/>
          <w:lang w:val="fr-FR"/>
        </w:rPr>
        <w:t xml:space="preserve"> des échanges.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18"/>
      </w:r>
      <w:r w:rsidRPr="00A45561">
        <w:rPr>
          <w:rFonts w:ascii="Times New Roman" w:hAnsi="Times New Roman"/>
          <w:szCs w:val="24"/>
          <w:lang w:val="fr-FR"/>
        </w:rPr>
        <w:t xml:space="preserve">. Le 30 avril 1991, on a fondé la chaîne culturelle européenne franco-allemande </w:t>
      </w:r>
      <w:hyperlink r:id="rId9" w:tooltip="Link zu naissance d’Arte auf arte.tv" w:history="1">
        <w:r w:rsidRPr="00A45561">
          <w:rPr>
            <w:rStyle w:val="Hyperlink"/>
            <w:rFonts w:ascii="Times New Roman" w:hAnsi="Times New Roman"/>
            <w:b/>
            <w:bCs/>
            <w:szCs w:val="24"/>
            <w:lang w:val="fr-FR"/>
          </w:rPr>
          <w:t>Arte</w:t>
        </w:r>
      </w:hyperlink>
      <w:r w:rsidRPr="00A45561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Pr="00A45561">
        <w:rPr>
          <w:rFonts w:ascii="Times New Roman" w:hAnsi="Times New Roman"/>
          <w:szCs w:val="24"/>
          <w:lang w:val="fr-FR"/>
        </w:rPr>
        <w:t>(</w:t>
      </w:r>
      <w:r w:rsidRPr="00A45561">
        <w:rPr>
          <w:rFonts w:ascii="Times New Roman" w:hAnsi="Times New Roman"/>
          <w:b/>
          <w:bCs/>
          <w:szCs w:val="24"/>
          <w:lang w:val="fr-FR"/>
        </w:rPr>
        <w:t>A</w:t>
      </w:r>
      <w:r w:rsidRPr="00A45561">
        <w:rPr>
          <w:rFonts w:ascii="Times New Roman" w:hAnsi="Times New Roman"/>
          <w:szCs w:val="24"/>
          <w:lang w:val="fr-FR"/>
        </w:rPr>
        <w:t xml:space="preserve">ssociation </w:t>
      </w:r>
      <w:r w:rsidRPr="00A45561">
        <w:rPr>
          <w:rFonts w:ascii="Times New Roman" w:hAnsi="Times New Roman"/>
          <w:b/>
          <w:bCs/>
          <w:szCs w:val="24"/>
          <w:lang w:val="fr-FR"/>
        </w:rPr>
        <w:t>R</w:t>
      </w:r>
      <w:r w:rsidRPr="00A45561">
        <w:rPr>
          <w:rFonts w:ascii="Times New Roman" w:hAnsi="Times New Roman"/>
          <w:szCs w:val="24"/>
          <w:lang w:val="fr-FR"/>
        </w:rPr>
        <w:t xml:space="preserve">elative à la </w:t>
      </w:r>
      <w:r w:rsidRPr="00A45561">
        <w:rPr>
          <w:rFonts w:ascii="Times New Roman" w:hAnsi="Times New Roman"/>
          <w:b/>
          <w:bCs/>
          <w:szCs w:val="24"/>
          <w:lang w:val="fr-FR"/>
        </w:rPr>
        <w:t>T</w:t>
      </w:r>
      <w:r w:rsidRPr="00A45561">
        <w:rPr>
          <w:rFonts w:ascii="Times New Roman" w:hAnsi="Times New Roman"/>
          <w:szCs w:val="24"/>
          <w:lang w:val="fr-FR"/>
        </w:rPr>
        <w:t xml:space="preserve">élévision </w:t>
      </w:r>
      <w:r w:rsidRPr="00A45561">
        <w:rPr>
          <w:rFonts w:ascii="Times New Roman" w:hAnsi="Times New Roman"/>
          <w:b/>
          <w:bCs/>
          <w:szCs w:val="24"/>
          <w:lang w:val="fr-FR"/>
        </w:rPr>
        <w:t>E</w:t>
      </w:r>
      <w:r w:rsidRPr="00A45561">
        <w:rPr>
          <w:rFonts w:ascii="Times New Roman" w:hAnsi="Times New Roman"/>
          <w:szCs w:val="24"/>
          <w:lang w:val="fr-FR"/>
        </w:rPr>
        <w:t>uropéenne) à Strasbourg. Sur Arte, on peut regarder des d</w:t>
      </w:r>
      <w:r w:rsidRPr="00A45561">
        <w:rPr>
          <w:rFonts w:ascii="Times New Roman" w:hAnsi="Times New Roman"/>
          <w:color w:val="141414"/>
          <w:szCs w:val="24"/>
          <w:shd w:val="clear" w:color="auto" w:fill="FFFFFF"/>
          <w:lang w:val="fr-FR"/>
        </w:rPr>
        <w:t>ocumentaires, des films, des séries, des concerts et d’autres émissions</w:t>
      </w:r>
      <w:r w:rsidRPr="00A45561">
        <w:rPr>
          <w:rStyle w:val="Funotenzeichen"/>
          <w:rFonts w:ascii="Times New Roman" w:hAnsi="Times New Roman"/>
          <w:color w:val="141414"/>
          <w:szCs w:val="24"/>
          <w:shd w:val="clear" w:color="auto" w:fill="FFFFFF"/>
          <w:lang w:val="fr-FR"/>
        </w:rPr>
        <w:footnoteReference w:id="19"/>
      </w:r>
      <w:r w:rsidRPr="00A45561">
        <w:rPr>
          <w:rFonts w:ascii="Times New Roman" w:hAnsi="Times New Roman"/>
          <w:color w:val="141414"/>
          <w:szCs w:val="24"/>
          <w:shd w:val="clear" w:color="auto" w:fill="FFFFFF"/>
          <w:lang w:val="fr-FR"/>
        </w:rPr>
        <w:t xml:space="preserve"> en français ou en allemand. </w:t>
      </w:r>
    </w:p>
    <w:p w14:paraId="376383E9" w14:textId="77777777" w:rsidR="008B382D" w:rsidRPr="00A96A23" w:rsidRDefault="008B382D" w:rsidP="00A45561">
      <w:pPr>
        <w:pStyle w:val="berschrift2"/>
        <w:jc w:val="both"/>
        <w:rPr>
          <w:lang w:val="fr-FR"/>
        </w:rPr>
      </w:pPr>
      <w:r w:rsidRPr="00A96A23">
        <w:rPr>
          <w:lang w:val="fr-FR"/>
        </w:rPr>
        <w:t>Le Traité d’Aix-la-Chapelle</w:t>
      </w:r>
    </w:p>
    <w:p w14:paraId="7FC841DB" w14:textId="77777777" w:rsidR="008B382D" w:rsidRPr="00A96A23" w:rsidRDefault="008B382D" w:rsidP="00A45561">
      <w:pPr>
        <w:jc w:val="both"/>
        <w:rPr>
          <w:rFonts w:ascii="Times New Roman" w:hAnsi="Times New Roman"/>
          <w:szCs w:val="24"/>
          <w:lang w:val="fr-FR"/>
        </w:rPr>
      </w:pPr>
      <w:r w:rsidRPr="00A96A23">
        <w:rPr>
          <w:rFonts w:ascii="Times New Roman" w:hAnsi="Times New Roman"/>
          <w:szCs w:val="24"/>
          <w:lang w:val="fr-FR"/>
        </w:rPr>
        <w:t>Le Traité de l’Élysée de 1963, a été renouvelé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0"/>
      </w:r>
      <w:r w:rsidRPr="00A96A23">
        <w:rPr>
          <w:rFonts w:ascii="Times New Roman" w:hAnsi="Times New Roman"/>
          <w:szCs w:val="24"/>
          <w:lang w:val="fr-FR"/>
        </w:rPr>
        <w:t xml:space="preserve"> par le Traité d’Aix-la-Chapelle en 2019. Ce nouveau traité renforce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1"/>
      </w:r>
      <w:r w:rsidRPr="00A96A23">
        <w:rPr>
          <w:rFonts w:ascii="Times New Roman" w:hAnsi="Times New Roman"/>
          <w:szCs w:val="24"/>
          <w:lang w:val="fr-FR"/>
        </w:rPr>
        <w:t xml:space="preserve"> l’étroite coopération entre l’Allemagne et la France en matière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2"/>
      </w:r>
      <w:r w:rsidRPr="00A96A23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 xml:space="preserve">de </w:t>
      </w:r>
      <w:r w:rsidRPr="00A96A23">
        <w:rPr>
          <w:rFonts w:ascii="Times New Roman" w:hAnsi="Times New Roman"/>
          <w:szCs w:val="24"/>
          <w:lang w:val="fr-FR"/>
        </w:rPr>
        <w:t xml:space="preserve">coopération </w:t>
      </w:r>
      <w:r w:rsidRPr="00A96A23">
        <w:rPr>
          <w:rFonts w:ascii="Times New Roman" w:hAnsi="Times New Roman"/>
          <w:szCs w:val="24"/>
          <w:lang w:val="fr-FR"/>
        </w:rPr>
        <w:lastRenderedPageBreak/>
        <w:t xml:space="preserve">bilatérale 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3"/>
      </w:r>
      <w:r w:rsidRPr="00A96A23">
        <w:rPr>
          <w:rFonts w:ascii="Times New Roman" w:hAnsi="Times New Roman"/>
          <w:szCs w:val="24"/>
          <w:lang w:val="fr-FR"/>
        </w:rPr>
        <w:t>, transfrontalière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4"/>
      </w:r>
      <w:r w:rsidRPr="00A96A23">
        <w:rPr>
          <w:rFonts w:ascii="Times New Roman" w:hAnsi="Times New Roman"/>
          <w:szCs w:val="24"/>
          <w:lang w:val="fr-FR"/>
        </w:rPr>
        <w:t>, de coopération aux Nations Unies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5"/>
      </w:r>
      <w:r w:rsidRPr="00A96A23">
        <w:rPr>
          <w:rFonts w:ascii="Times New Roman" w:hAnsi="Times New Roman"/>
          <w:szCs w:val="24"/>
          <w:lang w:val="fr-FR"/>
        </w:rPr>
        <w:t>, en matière de</w:t>
      </w:r>
      <w:r>
        <w:rPr>
          <w:rFonts w:ascii="Times New Roman" w:hAnsi="Times New Roman"/>
          <w:szCs w:val="24"/>
          <w:lang w:val="fr-FR"/>
        </w:rPr>
        <w:t xml:space="preserve"> </w:t>
      </w:r>
      <w:r w:rsidRPr="00A96A23">
        <w:rPr>
          <w:rFonts w:ascii="Times New Roman" w:hAnsi="Times New Roman"/>
          <w:szCs w:val="24"/>
          <w:lang w:val="fr-FR"/>
        </w:rPr>
        <w:t>sécurité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6"/>
      </w:r>
      <w:r w:rsidRPr="00A96A23">
        <w:rPr>
          <w:rFonts w:ascii="Times New Roman" w:hAnsi="Times New Roman"/>
          <w:szCs w:val="24"/>
          <w:lang w:val="fr-FR"/>
        </w:rPr>
        <w:t xml:space="preserve"> et de défense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7"/>
      </w:r>
      <w:r w:rsidRPr="00A96A23">
        <w:rPr>
          <w:rFonts w:ascii="Times New Roman" w:hAnsi="Times New Roman"/>
          <w:szCs w:val="24"/>
          <w:lang w:val="fr-FR"/>
        </w:rPr>
        <w:t>, de coopération culturelle, technologique, spatiale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8"/>
      </w:r>
      <w:r w:rsidRPr="00A96A23">
        <w:rPr>
          <w:rFonts w:ascii="Times New Roman" w:hAnsi="Times New Roman"/>
          <w:szCs w:val="24"/>
          <w:lang w:val="fr-FR"/>
        </w:rPr>
        <w:t xml:space="preserve"> ou encore numérique</w:t>
      </w:r>
      <w:r w:rsidRPr="00A96A23">
        <w:rPr>
          <w:rStyle w:val="Funotenzeichen"/>
          <w:rFonts w:ascii="Times New Roman" w:hAnsi="Times New Roman"/>
          <w:szCs w:val="24"/>
          <w:lang w:val="fr-FR"/>
        </w:rPr>
        <w:footnoteReference w:id="29"/>
      </w:r>
      <w:r w:rsidRPr="00A96A23">
        <w:rPr>
          <w:rFonts w:ascii="Times New Roman" w:hAnsi="Times New Roman"/>
          <w:szCs w:val="24"/>
          <w:lang w:val="fr-FR"/>
        </w:rPr>
        <w:t>.</w:t>
      </w:r>
    </w:p>
    <w:p w14:paraId="409361F3" w14:textId="77777777" w:rsidR="008B382D" w:rsidRPr="00A96A23" w:rsidRDefault="008B382D" w:rsidP="00A45561">
      <w:pPr>
        <w:pStyle w:val="berschrift2"/>
        <w:jc w:val="both"/>
        <w:rPr>
          <w:lang w:val="fr-FR"/>
        </w:rPr>
      </w:pPr>
      <w:r w:rsidRPr="00A96A23">
        <w:rPr>
          <w:lang w:val="fr-FR"/>
        </w:rPr>
        <w:t xml:space="preserve">La </w:t>
      </w:r>
      <w:r w:rsidRPr="008B382D">
        <w:t>France</w:t>
      </w:r>
      <w:r w:rsidRPr="00A96A23">
        <w:rPr>
          <w:lang w:val="fr-FR"/>
        </w:rPr>
        <w:t xml:space="preserve"> et l’Allemagne ont une longue histoire commune</w:t>
      </w:r>
    </w:p>
    <w:p w14:paraId="712176A0" w14:textId="3C654097" w:rsidR="008B382D" w:rsidRPr="00A45561" w:rsidRDefault="008B382D" w:rsidP="00A45561">
      <w:pPr>
        <w:pStyle w:val="KeinLeerraum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45561">
        <w:rPr>
          <w:rFonts w:ascii="Times New Roman" w:hAnsi="Times New Roman" w:cs="Times New Roman"/>
          <w:sz w:val="24"/>
          <w:szCs w:val="24"/>
          <w:lang w:val="fr-FR"/>
        </w:rPr>
        <w:t>Au 20ème siècle, l’histoire franco-allemande a connu deux guerres mondiales</w:t>
      </w:r>
      <w:r w:rsidRPr="00A45561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30"/>
      </w:r>
      <w:r w:rsidRPr="00A45561">
        <w:rPr>
          <w:rFonts w:ascii="Times New Roman" w:hAnsi="Times New Roman" w:cs="Times New Roman"/>
          <w:sz w:val="24"/>
          <w:szCs w:val="24"/>
          <w:lang w:val="fr-FR"/>
        </w:rPr>
        <w:t xml:space="preserve"> avant de se réconcilier </w:t>
      </w:r>
      <w:r w:rsidRPr="00A45561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31"/>
      </w:r>
      <w:r w:rsidRPr="00A45561">
        <w:rPr>
          <w:rFonts w:ascii="Times New Roman" w:hAnsi="Times New Roman" w:cs="Times New Roman"/>
          <w:sz w:val="24"/>
          <w:szCs w:val="24"/>
          <w:lang w:val="fr-FR"/>
        </w:rPr>
        <w:t xml:space="preserve"> et de fonder</w:t>
      </w:r>
      <w:r w:rsidRPr="00A45561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32"/>
      </w:r>
      <w:r w:rsidRPr="00A45561">
        <w:rPr>
          <w:rFonts w:ascii="Times New Roman" w:hAnsi="Times New Roman" w:cs="Times New Roman"/>
          <w:sz w:val="24"/>
          <w:szCs w:val="24"/>
          <w:lang w:val="fr-FR"/>
        </w:rPr>
        <w:t xml:space="preserve"> ensemble l’Union européenne</w:t>
      </w:r>
      <w:r w:rsidRPr="00A45561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33"/>
      </w:r>
      <w:r w:rsidRPr="00A45561">
        <w:rPr>
          <w:rFonts w:ascii="Times New Roman" w:hAnsi="Times New Roman" w:cs="Times New Roman"/>
          <w:sz w:val="24"/>
          <w:szCs w:val="24"/>
          <w:lang w:val="fr-FR"/>
        </w:rPr>
        <w:t>. Mais</w:t>
      </w:r>
      <w:hyperlink r:id="rId10" w:tooltip="Link zu PDF France Allemagne: une langue histoire auf 2. Klett. " w:history="1">
        <w:r w:rsidRPr="00A4556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 xml:space="preserve"> l’histoire franco-allemande</w:t>
        </w:r>
      </w:hyperlink>
      <w:r w:rsidRPr="00A45561">
        <w:rPr>
          <w:rFonts w:ascii="Times New Roman" w:hAnsi="Times New Roman" w:cs="Times New Roman"/>
          <w:sz w:val="24"/>
          <w:szCs w:val="24"/>
          <w:lang w:val="fr-FR"/>
        </w:rPr>
        <w:t xml:space="preserve"> a commencé bien avant ces évènements</w:t>
      </w:r>
      <w:r w:rsidRPr="00A45561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34"/>
      </w:r>
      <w:r w:rsidRPr="00A45561">
        <w:rPr>
          <w:rFonts w:ascii="Times New Roman" w:hAnsi="Times New Roman" w:cs="Times New Roman"/>
          <w:sz w:val="24"/>
          <w:szCs w:val="24"/>
          <w:lang w:val="fr-FR"/>
        </w:rPr>
        <w:t xml:space="preserve"> :</w:t>
      </w:r>
    </w:p>
    <w:p w14:paraId="2BD0BFAD" w14:textId="77777777" w:rsidR="008B382D" w:rsidRPr="00A96A23" w:rsidRDefault="008B382D" w:rsidP="00A45561">
      <w:pPr>
        <w:pStyle w:val="berschrift3"/>
        <w:jc w:val="both"/>
        <w:rPr>
          <w:lang w:val="fr-FR"/>
        </w:rPr>
      </w:pPr>
      <w:proofErr w:type="gramStart"/>
      <w:r w:rsidRPr="008B382D">
        <w:t>Charlemagne</w:t>
      </w:r>
      <w:r w:rsidRPr="00A96A23">
        <w:rPr>
          <w:lang w:val="fr-FR"/>
        </w:rPr>
        <w:t xml:space="preserve"> :</w:t>
      </w:r>
      <w:proofErr w:type="gramEnd"/>
    </w:p>
    <w:p w14:paraId="3EB8148A" w14:textId="77777777" w:rsidR="008B382D" w:rsidRPr="00A45561" w:rsidRDefault="008B382D" w:rsidP="00A45561">
      <w:pPr>
        <w:pStyle w:val="KeinLeerrau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>On ne pense pas au fait que dans le passé, la France et l’Allemagne étaient un seul pays : l’Empire carolingien</w:t>
      </w:r>
      <w:r w:rsidRPr="00A45561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35"/>
      </w:r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En 800, le Roi des Francs, Charlemagne (Karl der </w:t>
      </w:r>
      <w:proofErr w:type="spellStart"/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>Große</w:t>
      </w:r>
      <w:proofErr w:type="spellEnd"/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>), devient « Empereur</w:t>
      </w:r>
      <w:r w:rsidRPr="00A45561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36"/>
      </w:r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Romains</w:t>
      </w:r>
      <w:r w:rsidRPr="00A45561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37"/>
      </w:r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», c’est-à-dire l’empereur « franco-allemand ». Il est devenu le père de l’Europe, parce qu’il a regroupé</w:t>
      </w:r>
      <w:r w:rsidRPr="00A45561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38"/>
      </w:r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grande partie des pays européens dans son Saint-Empire Romain</w:t>
      </w:r>
      <w:r w:rsidRPr="00A45561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39"/>
      </w:r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2A7F14EE" w14:textId="77777777" w:rsidR="008B382D" w:rsidRPr="00A45561" w:rsidRDefault="008B382D" w:rsidP="00A45561">
      <w:pPr>
        <w:pStyle w:val="berschrift3"/>
        <w:jc w:val="both"/>
        <w:rPr>
          <w:lang w:val="fr-FR"/>
        </w:rPr>
      </w:pPr>
      <w:r w:rsidRPr="00A45561">
        <w:rPr>
          <w:lang w:val="fr-FR"/>
        </w:rPr>
        <w:t xml:space="preserve">Le </w:t>
      </w:r>
      <w:proofErr w:type="spellStart"/>
      <w:r w:rsidRPr="00A45561">
        <w:t>Traité</w:t>
      </w:r>
      <w:proofErr w:type="spellEnd"/>
      <w:r w:rsidRPr="00A45561">
        <w:rPr>
          <w:lang w:val="fr-FR"/>
        </w:rPr>
        <w:t xml:space="preserve"> de Verdun - La fin de l’Empire de Charlemagne :</w:t>
      </w:r>
    </w:p>
    <w:p w14:paraId="488DBE28" w14:textId="67CCDCA9" w:rsidR="008B382D" w:rsidRPr="00A45561" w:rsidRDefault="008B382D" w:rsidP="00A45561">
      <w:pPr>
        <w:pStyle w:val="KeinLeerraum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45561">
        <w:rPr>
          <w:rFonts w:ascii="Times New Roman" w:hAnsi="Times New Roman" w:cs="Times New Roman"/>
          <w:sz w:val="24"/>
          <w:szCs w:val="24"/>
        </w:rPr>
        <w:t xml:space="preserve">En 843,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trois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petits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>-fils</w:t>
      </w:r>
      <w:r w:rsidRPr="00A45561">
        <w:rPr>
          <w:rFonts w:ascii="Times New Roman" w:hAnsi="Times New Roman" w:cs="Times New Roman"/>
          <w:sz w:val="24"/>
          <w:szCs w:val="24"/>
        </w:rPr>
        <w:footnoteReference w:id="40"/>
      </w:r>
      <w:r w:rsidRPr="00A45561">
        <w:rPr>
          <w:rFonts w:ascii="Times New Roman" w:hAnsi="Times New Roman" w:cs="Times New Roman"/>
          <w:sz w:val="24"/>
          <w:szCs w:val="24"/>
        </w:rPr>
        <w:t xml:space="preserve"> de Charlemagne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partagé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l’empire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grand-père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Traité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de Verdun.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Cet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divisé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dont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Germanie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(plus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tard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l’Allemagne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) et la France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C’était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la fin du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45561">
        <w:rPr>
          <w:rFonts w:ascii="Times New Roman" w:hAnsi="Times New Roman" w:cs="Times New Roman"/>
          <w:sz w:val="24"/>
          <w:szCs w:val="24"/>
        </w:rPr>
        <w:t xml:space="preserve"> Empire </w:t>
      </w:r>
      <w:proofErr w:type="spellStart"/>
      <w:r w:rsidRPr="00A45561">
        <w:rPr>
          <w:rFonts w:ascii="Times New Roman" w:hAnsi="Times New Roman" w:cs="Times New Roman"/>
          <w:sz w:val="24"/>
          <w:szCs w:val="24"/>
        </w:rPr>
        <w:t>carolingien</w:t>
      </w:r>
      <w:proofErr w:type="spellEnd"/>
      <w:r w:rsidRPr="00A4556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BA2138A" w14:textId="77777777" w:rsidR="008B382D" w:rsidRPr="00A45561" w:rsidRDefault="008B382D" w:rsidP="00A45561">
      <w:pPr>
        <w:pStyle w:val="berschrift3"/>
        <w:jc w:val="both"/>
        <w:rPr>
          <w:lang w:val="fr-FR"/>
        </w:rPr>
      </w:pPr>
      <w:r w:rsidRPr="00A45561">
        <w:rPr>
          <w:lang w:val="fr-FR"/>
        </w:rPr>
        <w:t>L’Alsace-Lorraine :</w:t>
      </w:r>
    </w:p>
    <w:p w14:paraId="72FB4E2F" w14:textId="619FC490" w:rsidR="003B0D6C" w:rsidRPr="00A45561" w:rsidRDefault="008B382D" w:rsidP="00A45561">
      <w:pPr>
        <w:jc w:val="both"/>
        <w:rPr>
          <w:szCs w:val="24"/>
        </w:rPr>
      </w:pPr>
      <w:r w:rsidRPr="00A45561">
        <w:rPr>
          <w:rFonts w:ascii="Times New Roman" w:hAnsi="Times New Roman"/>
          <w:szCs w:val="24"/>
          <w:lang w:val="fr-FR"/>
        </w:rPr>
        <w:t>A cause de sa situation géographique, l’Alsace-Lorraine a longtemps joué un rôle particulier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41"/>
      </w:r>
      <w:r w:rsidRPr="00A45561">
        <w:rPr>
          <w:rFonts w:ascii="Times New Roman" w:hAnsi="Times New Roman"/>
          <w:szCs w:val="24"/>
          <w:lang w:val="fr-FR"/>
        </w:rPr>
        <w:t xml:space="preserve"> : Au 19ème siècle, la région était française, mais la Prusse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42"/>
      </w:r>
      <w:r w:rsidRPr="00A45561">
        <w:rPr>
          <w:rFonts w:ascii="Times New Roman" w:hAnsi="Times New Roman"/>
          <w:szCs w:val="24"/>
          <w:lang w:val="fr-FR"/>
        </w:rPr>
        <w:t xml:space="preserve"> a déclenché une première guerre 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43"/>
      </w:r>
      <w:r w:rsidRPr="00A45561">
        <w:rPr>
          <w:rFonts w:ascii="Times New Roman" w:hAnsi="Times New Roman"/>
          <w:szCs w:val="24"/>
          <w:lang w:val="fr-FR"/>
        </w:rPr>
        <w:t xml:space="preserve"> franco-allemande (de 1870 à 1871). Après la défaite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44"/>
      </w:r>
      <w:r w:rsidRPr="00A45561">
        <w:rPr>
          <w:rFonts w:ascii="Times New Roman" w:hAnsi="Times New Roman"/>
          <w:szCs w:val="24"/>
          <w:lang w:val="fr-FR"/>
        </w:rPr>
        <w:t xml:space="preserve"> des Français le 18 janvier 1871, l’Alsace-Lorraine est devenue prussienne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45"/>
      </w:r>
      <w:r w:rsidRPr="00A45561">
        <w:rPr>
          <w:rFonts w:ascii="Times New Roman" w:hAnsi="Times New Roman"/>
          <w:szCs w:val="24"/>
          <w:lang w:val="fr-FR"/>
        </w:rPr>
        <w:t>. Après la Première Guerre mondiale, qui opposait</w:t>
      </w:r>
      <w:r w:rsidRPr="00A45561">
        <w:rPr>
          <w:rStyle w:val="Funotenzeichen"/>
          <w:rFonts w:ascii="Times New Roman" w:hAnsi="Times New Roman"/>
          <w:szCs w:val="24"/>
          <w:lang w:val="fr-FR"/>
        </w:rPr>
        <w:footnoteReference w:id="46"/>
      </w:r>
      <w:r w:rsidRPr="00A45561">
        <w:rPr>
          <w:rFonts w:ascii="Times New Roman" w:hAnsi="Times New Roman"/>
          <w:szCs w:val="24"/>
          <w:lang w:val="fr-FR"/>
        </w:rPr>
        <w:t xml:space="preserve"> la France et l’Allemagne de nouveau, l’Alsace- Lorraine est redevenue française. Quelle histoire compliquée !</w:t>
      </w:r>
    </w:p>
    <w:sectPr w:rsidR="003B0D6C" w:rsidRPr="00A45561" w:rsidSect="00E5487E"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17A6481F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lang w:val="fr-FR"/>
        </w:rPr>
      </w:pPr>
      <w:r w:rsidRPr="00A96A23">
        <w:rPr>
          <w:rStyle w:val="Funotenzeichen"/>
          <w:rFonts w:ascii="Times New Roman" w:hAnsi="Times New Roman" w:cs="Times New Roman"/>
          <w:lang w:val="fr-FR"/>
        </w:rPr>
        <w:footnoteRef/>
      </w:r>
      <w:r w:rsidRPr="00A96A23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lang w:val="fr-FR"/>
        </w:rPr>
        <w:t>en</w:t>
      </w:r>
      <w:proofErr w:type="gramEnd"/>
      <w:r w:rsidRPr="00A96A23">
        <w:rPr>
          <w:rFonts w:ascii="Times New Roman" w:hAnsi="Times New Roman" w:cs="Times New Roman"/>
          <w:lang w:val="fr-FR"/>
        </w:rPr>
        <w:t xml:space="preserve"> plus : https://www.france-allemagne.fr/Une-relation-bilaterale-au-service-de-l-Europe.html</w:t>
      </w:r>
    </w:p>
  </w:footnote>
  <w:footnote w:id="2">
    <w:p w14:paraId="61298A40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traité : der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Vertrag</w:t>
      </w:r>
      <w:proofErr w:type="spellEnd"/>
    </w:p>
  </w:footnote>
  <w:footnote w:id="3">
    <w:p w14:paraId="11A9B3E9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signer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unterzeichnen</w:t>
      </w:r>
      <w:proofErr w:type="spellEnd"/>
      <w:proofErr w:type="gramEnd"/>
    </w:p>
  </w:footnote>
  <w:footnote w:id="4">
    <w:p w14:paraId="3667B262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lang w:val="fr-FR"/>
        </w:rPr>
      </w:pPr>
      <w:r w:rsidRPr="00A96A23">
        <w:rPr>
          <w:rStyle w:val="Funotenzeichen"/>
          <w:rFonts w:ascii="Times New Roman" w:hAnsi="Times New Roman" w:cs="Times New Roman"/>
          <w:lang w:val="fr-FR"/>
        </w:rPr>
        <w:footnoteRef/>
      </w:r>
      <w:r w:rsidRPr="00A96A23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lang w:val="fr-FR"/>
        </w:rPr>
        <w:t>la</w:t>
      </w:r>
      <w:proofErr w:type="gramEnd"/>
      <w:r w:rsidRPr="00A96A23">
        <w:rPr>
          <w:rFonts w:ascii="Times New Roman" w:hAnsi="Times New Roman" w:cs="Times New Roman"/>
          <w:lang w:val="fr-FR"/>
        </w:rPr>
        <w:t xml:space="preserve"> République Fédérale de l’Allemagne : die </w:t>
      </w:r>
      <w:proofErr w:type="spellStart"/>
      <w:r w:rsidRPr="00A96A23">
        <w:rPr>
          <w:rFonts w:ascii="Times New Roman" w:hAnsi="Times New Roman" w:cs="Times New Roman"/>
          <w:lang w:val="fr-FR"/>
        </w:rPr>
        <w:t>Bundesrepublik</w:t>
      </w:r>
      <w:proofErr w:type="spellEnd"/>
      <w:r w:rsidRPr="00A96A2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lang w:val="fr-FR"/>
        </w:rPr>
        <w:t>Deutschland</w:t>
      </w:r>
      <w:proofErr w:type="spellEnd"/>
    </w:p>
  </w:footnote>
  <w:footnote w:id="5">
    <w:p w14:paraId="4333310B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répondre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à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entsprechen</w:t>
      </w:r>
      <w:proofErr w:type="spellEnd"/>
      <w:proofErr w:type="gramEnd"/>
    </w:p>
  </w:footnote>
  <w:footnote w:id="6">
    <w:p w14:paraId="1DED4BDD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un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objectif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ein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Ziel</w:t>
      </w:r>
      <w:proofErr w:type="spellEnd"/>
    </w:p>
  </w:footnote>
  <w:footnote w:id="7">
    <w:p w14:paraId="33842119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bref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, brève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kurz</w:t>
      </w:r>
      <w:proofErr w:type="spellEnd"/>
    </w:p>
  </w:footnote>
  <w:footnote w:id="8">
    <w:p w14:paraId="6EF67E51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sceller</w:t>
      </w:r>
      <w:proofErr w:type="gram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</w:t>
      </w:r>
      <w:proofErr w:type="spell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qc</w:t>
      </w:r>
      <w:proofErr w:type="spell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: </w:t>
      </w:r>
      <w:proofErr w:type="spell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etw</w:t>
      </w:r>
      <w:proofErr w:type="spell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besiegeln</w:t>
      </w:r>
      <w:proofErr w:type="spellEnd"/>
      <w:proofErr w:type="gramEnd"/>
    </w:p>
  </w:footnote>
  <w:footnote w:id="9">
    <w:p w14:paraId="0158D926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la</w:t>
      </w:r>
      <w:proofErr w:type="gram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réconciliation : die </w:t>
      </w:r>
      <w:proofErr w:type="spell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Versöhnung</w:t>
      </w:r>
      <w:proofErr w:type="spellEnd"/>
    </w:p>
  </w:footnote>
  <w:footnote w:id="10">
    <w:p w14:paraId="488F33B0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peuple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das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Volk</w:t>
      </w:r>
      <w:proofErr w:type="spellEnd"/>
    </w:p>
  </w:footnote>
  <w:footnote w:id="11">
    <w:p w14:paraId="38BEB936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favoriser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begünstigen</w:t>
      </w:r>
      <w:proofErr w:type="spellEnd"/>
      <w:proofErr w:type="gramEnd"/>
    </w:p>
  </w:footnote>
  <w:footnote w:id="12">
    <w:p w14:paraId="07D41C7F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</w:t>
      </w:r>
      <w:proofErr w:type="spellStart"/>
      <w:proofErr w:type="gram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uni,e</w:t>
      </w:r>
      <w:proofErr w:type="spellEnd"/>
      <w:proofErr w:type="gram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: </w:t>
      </w:r>
      <w:proofErr w:type="spell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vereint</w:t>
      </w:r>
      <w:proofErr w:type="spellEnd"/>
    </w:p>
  </w:footnote>
  <w:footnote w:id="13">
    <w:p w14:paraId="6F55D960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</w:t>
      </w:r>
      <w:proofErr w:type="gram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le</w:t>
      </w:r>
      <w:proofErr w:type="gram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but : </w:t>
      </w:r>
      <w:proofErr w:type="spell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das</w:t>
      </w:r>
      <w:proofErr w:type="spellEnd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 xml:space="preserve"> </w:t>
      </w:r>
      <w:proofErr w:type="spellStart"/>
      <w:r w:rsidRPr="00A96A23">
        <w:rPr>
          <w:rStyle w:val="Fett"/>
          <w:rFonts w:ascii="Times New Roman" w:hAnsi="Times New Roman" w:cs="Times New Roman"/>
          <w:b w:val="0"/>
          <w:bCs w:val="0"/>
          <w:color w:val="000000" w:themeColor="text1"/>
          <w:lang w:val="fr-FR"/>
        </w:rPr>
        <w:t>Ziel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</w:footnote>
  <w:footnote w:id="14">
    <w:p w14:paraId="4B811C47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se</w:t>
      </w:r>
      <w:proofErr w:type="gram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jumeler :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eine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Städtepartnerschaft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schließen</w:t>
      </w:r>
      <w:proofErr w:type="spellEnd"/>
    </w:p>
  </w:footnote>
  <w:footnote w:id="15">
    <w:p w14:paraId="3326B8EB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l’OFAJ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(m.)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das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deutsch-französische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Jugendwerk</w:t>
      </w:r>
      <w:proofErr w:type="spellEnd"/>
    </w:p>
  </w:footnote>
  <w:footnote w:id="16">
    <w:p w14:paraId="6F90E323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permettre</w:t>
      </w:r>
      <w:proofErr w:type="gram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à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qn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erlauben</w:t>
      </w:r>
      <w:proofErr w:type="spellEnd"/>
      <w:proofErr w:type="gramEnd"/>
    </w:p>
  </w:footnote>
  <w:footnote w:id="17">
    <w:p w14:paraId="2466B8C4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participer</w:t>
      </w:r>
      <w:proofErr w:type="gram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à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: an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teilnehmen</w:t>
      </w:r>
      <w:proofErr w:type="spellEnd"/>
      <w:proofErr w:type="gramEnd"/>
    </w:p>
  </w:footnote>
  <w:footnote w:id="18">
    <w:p w14:paraId="13CB0535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un</w:t>
      </w:r>
      <w:proofErr w:type="gram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échange :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ein</w:t>
      </w:r>
      <w:proofErr w:type="spellEnd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Austausch</w:t>
      </w:r>
      <w:proofErr w:type="spellEnd"/>
    </w:p>
  </w:footnote>
  <w:footnote w:id="19">
    <w:p w14:paraId="6E937919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une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émission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eine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Sendung</w:t>
      </w:r>
      <w:proofErr w:type="spellEnd"/>
    </w:p>
  </w:footnote>
  <w:footnote w:id="20">
    <w:p w14:paraId="36F8D651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fr-FR"/>
        </w:rPr>
        <w:t>r</w:t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>enouveler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erneuern</w:t>
      </w:r>
      <w:proofErr w:type="spellEnd"/>
      <w:proofErr w:type="gramEnd"/>
    </w:p>
  </w:footnote>
  <w:footnote w:id="21">
    <w:p w14:paraId="0342A64A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renforcer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bestärken</w:t>
      </w:r>
      <w:proofErr w:type="spellEnd"/>
      <w:proofErr w:type="gramEnd"/>
    </w:p>
  </w:footnote>
  <w:footnote w:id="22">
    <w:p w14:paraId="2EF21596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en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matière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im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Bereich</w:t>
      </w:r>
      <w:proofErr w:type="spellEnd"/>
    </w:p>
  </w:footnote>
  <w:footnote w:id="23">
    <w:p w14:paraId="1832F7E2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bilat</w:t>
      </w:r>
      <w:r>
        <w:rPr>
          <w:rFonts w:ascii="Times New Roman" w:hAnsi="Times New Roman" w:cs="Times New Roman"/>
          <w:color w:val="000000" w:themeColor="text1"/>
          <w:lang w:val="fr-FR"/>
        </w:rPr>
        <w:t>é</w:t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>ral,e</w:t>
      </w:r>
      <w:proofErr w:type="spellEnd"/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: 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bilateral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(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auf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beiden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Seiten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>)</w:t>
      </w:r>
    </w:p>
  </w:footnote>
  <w:footnote w:id="24">
    <w:p w14:paraId="765C6227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transfrontalier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>, -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ière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grenzüberschreitend</w:t>
      </w:r>
      <w:proofErr w:type="spellEnd"/>
    </w:p>
  </w:footnote>
  <w:footnote w:id="25">
    <w:p w14:paraId="512E7631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les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Nations Unies : die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Vereinten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Nationen</w:t>
      </w:r>
      <w:proofErr w:type="spellEnd"/>
    </w:p>
  </w:footnote>
  <w:footnote w:id="26">
    <w:p w14:paraId="7E7911BC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la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sécurité : die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Sicherheit</w:t>
      </w:r>
      <w:proofErr w:type="spellEnd"/>
    </w:p>
  </w:footnote>
  <w:footnote w:id="27">
    <w:p w14:paraId="05AA54A2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la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défense  die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Verteidigung</w:t>
      </w:r>
      <w:proofErr w:type="spellEnd"/>
    </w:p>
  </w:footnote>
  <w:footnote w:id="28">
    <w:p w14:paraId="727D7DBA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spatial,-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e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Raumfahrt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-,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zur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Raumfahrt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gehörend</w:t>
      </w:r>
      <w:proofErr w:type="spellEnd"/>
    </w:p>
  </w:footnote>
  <w:footnote w:id="29">
    <w:p w14:paraId="534D2F39" w14:textId="77777777" w:rsidR="008B382D" w:rsidRPr="00A96A23" w:rsidRDefault="008B382D" w:rsidP="008B382D">
      <w:pPr>
        <w:pStyle w:val="Funotentext"/>
        <w:rPr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fr-FR"/>
        </w:rPr>
        <w:t>n</w:t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>umérique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digital</w:t>
      </w:r>
    </w:p>
  </w:footnote>
  <w:footnote w:id="30">
    <w:p w14:paraId="531971DA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une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guerre mondiale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ein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Weltkrieg</w:t>
      </w:r>
      <w:proofErr w:type="spellEnd"/>
    </w:p>
  </w:footnote>
  <w:footnote w:id="31">
    <w:p w14:paraId="1231915D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se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réconcilier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sich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versöhnen</w:t>
      </w:r>
      <w:proofErr w:type="spellEnd"/>
    </w:p>
  </w:footnote>
  <w:footnote w:id="32">
    <w:p w14:paraId="12A2561C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fonder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qc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etw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gründen</w:t>
      </w:r>
      <w:proofErr w:type="spellEnd"/>
      <w:proofErr w:type="gramEnd"/>
    </w:p>
  </w:footnote>
  <w:footnote w:id="33">
    <w:p w14:paraId="78CE21EC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l’Union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européenne : die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europäische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Union</w:t>
      </w:r>
    </w:p>
  </w:footnote>
  <w:footnote w:id="34">
    <w:p w14:paraId="16F84BF4" w14:textId="77777777" w:rsidR="008B382D" w:rsidRPr="00A96A23" w:rsidRDefault="008B382D" w:rsidP="008B38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lang w:val="fr-FR"/>
        </w:rPr>
      </w:pPr>
      <w:r w:rsidRPr="00A96A23">
        <w:rPr>
          <w:rStyle w:val="Funotenzeichen"/>
          <w:rFonts w:ascii="Times New Roman" w:hAnsi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/>
          <w:color w:val="000000" w:themeColor="text1"/>
          <w:sz w:val="20"/>
          <w:lang w:val="fr-FR"/>
        </w:rPr>
        <w:t xml:space="preserve"> </w:t>
      </w:r>
      <w:proofErr w:type="gramStart"/>
      <w:r w:rsidRPr="00A96A23">
        <w:rPr>
          <w:rFonts w:ascii="Times New Roman" w:hAnsi="Times New Roman"/>
          <w:color w:val="000000" w:themeColor="text1"/>
          <w:sz w:val="20"/>
          <w:lang w:val="fr-FR"/>
        </w:rPr>
        <w:t>un</w:t>
      </w:r>
      <w:proofErr w:type="gramEnd"/>
      <w:r w:rsidRPr="00A96A23">
        <w:rPr>
          <w:rFonts w:ascii="Times New Roman" w:hAnsi="Times New Roman"/>
          <w:color w:val="000000" w:themeColor="text1"/>
          <w:sz w:val="20"/>
          <w:lang w:val="fr-FR"/>
        </w:rPr>
        <w:t xml:space="preserve"> évènement : </w:t>
      </w:r>
      <w:proofErr w:type="spellStart"/>
      <w:r w:rsidRPr="00A96A23">
        <w:rPr>
          <w:rFonts w:ascii="Times New Roman" w:hAnsi="Times New Roman"/>
          <w:color w:val="000000" w:themeColor="text1"/>
          <w:sz w:val="20"/>
          <w:lang w:val="fr-FR"/>
        </w:rPr>
        <w:t>ein</w:t>
      </w:r>
      <w:proofErr w:type="spellEnd"/>
      <w:r w:rsidRPr="00A96A23">
        <w:rPr>
          <w:rFonts w:ascii="Times New Roman" w:hAnsi="Times New Roman"/>
          <w:color w:val="000000" w:themeColor="text1"/>
          <w:sz w:val="20"/>
          <w:lang w:val="fr-FR"/>
        </w:rPr>
        <w:t xml:space="preserve"> </w:t>
      </w:r>
      <w:proofErr w:type="spellStart"/>
      <w:r w:rsidRPr="00A96A23">
        <w:rPr>
          <w:rFonts w:ascii="Times New Roman" w:hAnsi="Times New Roman"/>
          <w:color w:val="000000" w:themeColor="text1"/>
          <w:sz w:val="20"/>
          <w:lang w:val="fr-FR"/>
        </w:rPr>
        <w:t>Ereignis</w:t>
      </w:r>
      <w:proofErr w:type="spellEnd"/>
    </w:p>
  </w:footnote>
  <w:footnote w:id="35">
    <w:p w14:paraId="4E8694CD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l’empire</w:t>
      </w:r>
      <w:proofErr w:type="gramEnd"/>
      <w:r w:rsidRPr="00A96A23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carolingien : </w:t>
      </w:r>
      <w:proofErr w:type="spellStart"/>
      <w:r w:rsidRPr="00A96A23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das</w:t>
      </w:r>
      <w:proofErr w:type="spellEnd"/>
      <w:r w:rsidRPr="00A96A23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 xml:space="preserve"> </w:t>
      </w:r>
      <w:proofErr w:type="spellStart"/>
      <w:r w:rsidRPr="00A96A23">
        <w:rPr>
          <w:rFonts w:ascii="Times New Roman" w:eastAsia="Times New Roman" w:hAnsi="Times New Roman" w:cs="Times New Roman"/>
          <w:color w:val="000000" w:themeColor="text1"/>
          <w:lang w:val="fr-FR" w:eastAsia="de-DE"/>
        </w:rPr>
        <w:t>Karolingerreich</w:t>
      </w:r>
      <w:proofErr w:type="spellEnd"/>
    </w:p>
  </w:footnote>
  <w:footnote w:id="36">
    <w:p w14:paraId="1C07490D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l’empereur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: der Kaiser</w:t>
      </w:r>
    </w:p>
  </w:footnote>
  <w:footnote w:id="37">
    <w:p w14:paraId="5E8A43A0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Fonts w:ascii="Times New Roman" w:hAnsi="Times New Roman" w:cs="Times New Roman"/>
          <w:color w:val="000000" w:themeColor="text1"/>
          <w:lang w:val="fr-FR"/>
        </w:rPr>
        <w:t>un</w:t>
      </w:r>
      <w:proofErr w:type="gram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Romain : </w:t>
      </w:r>
      <w:proofErr w:type="spellStart"/>
      <w:r w:rsidRPr="00A96A23">
        <w:rPr>
          <w:rFonts w:ascii="Times New Roman" w:hAnsi="Times New Roman" w:cs="Times New Roman"/>
          <w:color w:val="000000" w:themeColor="text1"/>
          <w:lang w:val="fr-FR"/>
        </w:rPr>
        <w:t>ein</w:t>
      </w:r>
      <w:proofErr w:type="spellEnd"/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Römer</w:t>
      </w:r>
    </w:p>
  </w:footnote>
  <w:footnote w:id="38">
    <w:p w14:paraId="79512B09" w14:textId="77777777" w:rsidR="008B382D" w:rsidRPr="00A96A23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  <w:lang w:val="fr-FR"/>
        </w:rPr>
      </w:pPr>
      <w:r w:rsidRPr="00A96A23">
        <w:rPr>
          <w:rStyle w:val="Funotenzeichen"/>
          <w:rFonts w:ascii="Times New Roman" w:hAnsi="Times New Roman" w:cs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regrouper</w:t>
      </w:r>
      <w:proofErr w:type="gramEnd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qc</w:t>
      </w:r>
      <w:proofErr w:type="spellEnd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: </w:t>
      </w:r>
      <w:proofErr w:type="spellStart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etw</w:t>
      </w:r>
      <w:proofErr w:type="spellEnd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. </w:t>
      </w:r>
      <w:proofErr w:type="spellStart"/>
      <w:proofErr w:type="gramStart"/>
      <w:r w:rsidRPr="00A96A23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vereinen</w:t>
      </w:r>
      <w:proofErr w:type="spellEnd"/>
      <w:proofErr w:type="gramEnd"/>
    </w:p>
  </w:footnote>
  <w:footnote w:id="39">
    <w:p w14:paraId="39ECF746" w14:textId="77777777" w:rsidR="008B382D" w:rsidRPr="008276A4" w:rsidRDefault="008B382D" w:rsidP="008B382D">
      <w:pPr>
        <w:pStyle w:val="Pa6"/>
        <w:rPr>
          <w:rFonts w:ascii="Times New Roman" w:hAnsi="Times New Roman"/>
          <w:color w:val="000000" w:themeColor="text1"/>
        </w:rPr>
      </w:pPr>
      <w:r w:rsidRPr="00A96A23">
        <w:rPr>
          <w:rStyle w:val="Funotenzeichen"/>
          <w:rFonts w:ascii="Times New Roman" w:hAnsi="Times New Roman"/>
          <w:color w:val="000000" w:themeColor="text1"/>
          <w:lang w:val="fr-FR"/>
        </w:rPr>
        <w:footnoteRef/>
      </w:r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>le</w:t>
      </w:r>
      <w:proofErr w:type="gramEnd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Saint-Empire Romain : </w:t>
      </w:r>
      <w:proofErr w:type="spellStart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>das</w:t>
      </w:r>
      <w:proofErr w:type="spellEnd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>Heilige</w:t>
      </w:r>
      <w:proofErr w:type="spellEnd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>Römische</w:t>
      </w:r>
      <w:proofErr w:type="spellEnd"/>
      <w:r w:rsidRPr="00A96A23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Reich (Deutscher Nation).</w:t>
      </w:r>
    </w:p>
  </w:footnote>
  <w:footnote w:id="40">
    <w:p w14:paraId="73B563BD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76A4">
        <w:rPr>
          <w:rFonts w:ascii="Times New Roman" w:hAnsi="Times New Roman" w:cs="Times New Roman"/>
          <w:color w:val="000000" w:themeColor="text1"/>
        </w:rPr>
        <w:t>un</w:t>
      </w:r>
      <w:proofErr w:type="spellEnd"/>
      <w:r w:rsidRPr="008276A4">
        <w:rPr>
          <w:rFonts w:ascii="Times New Roman" w:hAnsi="Times New Roman" w:cs="Times New Roman"/>
          <w:color w:val="000000" w:themeColor="text1"/>
        </w:rPr>
        <w:t xml:space="preserve"> petit-</w:t>
      </w:r>
      <w:proofErr w:type="gramStart"/>
      <w:r w:rsidRPr="008276A4">
        <w:rPr>
          <w:rFonts w:ascii="Times New Roman" w:hAnsi="Times New Roman" w:cs="Times New Roman"/>
          <w:color w:val="000000" w:themeColor="text1"/>
        </w:rPr>
        <w:t>fils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ein Enkelsohn</w:t>
      </w:r>
    </w:p>
  </w:footnote>
  <w:footnote w:id="41">
    <w:p w14:paraId="10C0376F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76A4">
        <w:rPr>
          <w:rFonts w:ascii="Times New Roman" w:hAnsi="Times New Roman" w:cs="Times New Roman"/>
          <w:color w:val="000000" w:themeColor="text1"/>
        </w:rPr>
        <w:t>particulier</w:t>
      </w:r>
      <w:proofErr w:type="spellEnd"/>
      <w:r w:rsidRPr="008276A4">
        <w:rPr>
          <w:rFonts w:ascii="Times New Roman" w:hAnsi="Times New Roman" w:cs="Times New Roman"/>
          <w:color w:val="000000" w:themeColor="text1"/>
        </w:rPr>
        <w:t>,-</w:t>
      </w:r>
      <w:proofErr w:type="spellStart"/>
      <w:proofErr w:type="gramStart"/>
      <w:r w:rsidRPr="008276A4">
        <w:rPr>
          <w:rFonts w:ascii="Times New Roman" w:hAnsi="Times New Roman" w:cs="Times New Roman"/>
          <w:color w:val="000000" w:themeColor="text1"/>
        </w:rPr>
        <w:t>ière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besonders</w:t>
      </w:r>
    </w:p>
  </w:footnote>
  <w:footnote w:id="42">
    <w:p w14:paraId="391B54D9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proofErr w:type="gramStart"/>
      <w:r w:rsidRPr="008276A4">
        <w:rPr>
          <w:rFonts w:ascii="Times New Roman" w:hAnsi="Times New Roman" w:cs="Times New Roman"/>
          <w:color w:val="000000" w:themeColor="text1"/>
        </w:rPr>
        <w:t>Prusse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Preußen</w:t>
      </w:r>
    </w:p>
  </w:footnote>
  <w:footnote w:id="43">
    <w:p w14:paraId="6892D329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76A4">
        <w:rPr>
          <w:rFonts w:ascii="Times New Roman" w:hAnsi="Times New Roman" w:cs="Times New Roman"/>
          <w:color w:val="000000" w:themeColor="text1"/>
        </w:rPr>
        <w:t>déclencher</w:t>
      </w:r>
      <w:proofErr w:type="spellEnd"/>
      <w:r w:rsidRPr="008276A4">
        <w:rPr>
          <w:rFonts w:ascii="Times New Roman" w:hAnsi="Times New Roman" w:cs="Times New Roman"/>
          <w:color w:val="000000" w:themeColor="text1"/>
        </w:rPr>
        <w:t xml:space="preserve"> une </w:t>
      </w:r>
      <w:proofErr w:type="spellStart"/>
      <w:proofErr w:type="gramStart"/>
      <w:r w:rsidRPr="008276A4">
        <w:rPr>
          <w:rFonts w:ascii="Times New Roman" w:hAnsi="Times New Roman" w:cs="Times New Roman"/>
          <w:color w:val="000000" w:themeColor="text1"/>
        </w:rPr>
        <w:t>guerre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einen Krieg auslösen</w:t>
      </w:r>
    </w:p>
  </w:footnote>
  <w:footnote w:id="44">
    <w:p w14:paraId="63BBACED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proofErr w:type="gramStart"/>
      <w:r w:rsidRPr="008276A4">
        <w:rPr>
          <w:rFonts w:ascii="Times New Roman" w:hAnsi="Times New Roman" w:cs="Times New Roman"/>
          <w:color w:val="000000" w:themeColor="text1"/>
        </w:rPr>
        <w:t>défaite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die Niederlage</w:t>
      </w:r>
    </w:p>
  </w:footnote>
  <w:footnote w:id="45">
    <w:p w14:paraId="31E5E28E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76A4">
        <w:rPr>
          <w:rFonts w:ascii="Times New Roman" w:hAnsi="Times New Roman" w:cs="Times New Roman"/>
          <w:color w:val="000000" w:themeColor="text1"/>
        </w:rPr>
        <w:t>Prussien</w:t>
      </w:r>
      <w:proofErr w:type="spellEnd"/>
      <w:r w:rsidRPr="008276A4">
        <w:rPr>
          <w:rFonts w:ascii="Times New Roman" w:hAnsi="Times New Roman" w:cs="Times New Roman"/>
          <w:color w:val="000000" w:themeColor="text1"/>
        </w:rPr>
        <w:t>, -</w:t>
      </w:r>
      <w:proofErr w:type="spellStart"/>
      <w:proofErr w:type="gramStart"/>
      <w:r w:rsidRPr="008276A4">
        <w:rPr>
          <w:rFonts w:ascii="Times New Roman" w:hAnsi="Times New Roman" w:cs="Times New Roman"/>
          <w:color w:val="000000" w:themeColor="text1"/>
        </w:rPr>
        <w:t>ienne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preußisch</w:t>
      </w:r>
    </w:p>
  </w:footnote>
  <w:footnote w:id="46">
    <w:p w14:paraId="5B312EFC" w14:textId="77777777" w:rsidR="008B382D" w:rsidRPr="008276A4" w:rsidRDefault="008B382D" w:rsidP="008B382D">
      <w:pPr>
        <w:pStyle w:val="Funotentext"/>
        <w:rPr>
          <w:rFonts w:ascii="Times New Roman" w:hAnsi="Times New Roman" w:cs="Times New Roman"/>
          <w:color w:val="000000" w:themeColor="text1"/>
        </w:rPr>
      </w:pPr>
      <w:r w:rsidRPr="008276A4">
        <w:rPr>
          <w:rStyle w:val="Funotenzeichen"/>
          <w:rFonts w:ascii="Times New Roman" w:hAnsi="Times New Roman" w:cs="Times New Roman"/>
          <w:color w:val="000000" w:themeColor="text1"/>
        </w:rPr>
        <w:footnoteRef/>
      </w:r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76A4">
        <w:rPr>
          <w:rFonts w:ascii="Times New Roman" w:hAnsi="Times New Roman" w:cs="Times New Roman"/>
          <w:color w:val="000000" w:themeColor="text1"/>
        </w:rPr>
        <w:t>opposer</w:t>
      </w:r>
      <w:proofErr w:type="spellEnd"/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8276A4">
        <w:rPr>
          <w:rFonts w:ascii="Times New Roman" w:hAnsi="Times New Roman" w:cs="Times New Roman"/>
          <w:color w:val="000000" w:themeColor="text1"/>
        </w:rPr>
        <w:t>qc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76A4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8276A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76A4">
        <w:rPr>
          <w:rFonts w:ascii="Times New Roman" w:hAnsi="Times New Roman" w:cs="Times New Roman"/>
          <w:color w:val="000000" w:themeColor="text1"/>
        </w:rPr>
        <w:t>etw.gegenüberstellen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500F8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B382D"/>
    <w:rsid w:val="008C0EC6"/>
    <w:rsid w:val="008C2D2B"/>
    <w:rsid w:val="008D20A0"/>
    <w:rsid w:val="008E524C"/>
    <w:rsid w:val="00923E61"/>
    <w:rsid w:val="00925606"/>
    <w:rsid w:val="009528EF"/>
    <w:rsid w:val="009F0362"/>
    <w:rsid w:val="00A25960"/>
    <w:rsid w:val="00A358FE"/>
    <w:rsid w:val="00A45561"/>
    <w:rsid w:val="00A54F34"/>
    <w:rsid w:val="00A5554F"/>
    <w:rsid w:val="00A95839"/>
    <w:rsid w:val="00AA136F"/>
    <w:rsid w:val="00AB60FE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2.klett.de/sixcms/media.php/229/622041_U3_r7qs4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e.tv/sites/corporate/naissance-dart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469</Words>
  <Characters>2955</Characters>
  <Application>Microsoft Office Word</Application>
  <DocSecurity>2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traité-élysé 10_11</dc:title>
  <dc:subject/>
  <dc:creator>Ulrike Jahn-Sauner;LBS</dc:creator>
  <cp:keywords/>
  <dc:description>LBS</dc:description>
  <cp:lastModifiedBy>Ulrike Jahn-Sauner</cp:lastModifiedBy>
  <cp:revision>5</cp:revision>
  <dcterms:created xsi:type="dcterms:W3CDTF">2023-03-13T17:07:00Z</dcterms:created>
  <dcterms:modified xsi:type="dcterms:W3CDTF">2023-03-13T17:52:00Z</dcterms:modified>
</cp:coreProperties>
</file>