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087" w:rsidRDefault="00E73087" w:rsidP="00E73087">
      <w:pPr>
        <w:spacing w:line="240" w:lineRule="auto"/>
        <w:rPr>
          <w:sz w:val="24"/>
          <w:szCs w:val="24"/>
        </w:rPr>
      </w:pPr>
    </w:p>
    <w:tbl>
      <w:tblPr>
        <w:tblStyle w:val="Tabellenraster"/>
        <w:tblpPr w:leftFromText="141" w:rightFromText="141" w:vertAnchor="text" w:tblpX="-85" w:tblpY="1"/>
        <w:tblOverlap w:val="never"/>
        <w:tblW w:w="959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38"/>
        <w:gridCol w:w="3499"/>
        <w:gridCol w:w="5062"/>
      </w:tblGrid>
      <w:tr w:rsidR="00E73087" w:rsidRPr="00B244F4" w:rsidTr="00FC1C3D">
        <w:trPr>
          <w:tblHeader/>
        </w:trPr>
        <w:tc>
          <w:tcPr>
            <w:tcW w:w="1038" w:type="dxa"/>
            <w:shd w:val="clear" w:color="auto" w:fill="D9D9D9" w:themeFill="background1" w:themeFillShade="D9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/>
                <w:sz w:val="24"/>
              </w:rPr>
            </w:pPr>
            <w:r w:rsidRPr="00FC1C3D">
              <w:rPr>
                <w:rFonts w:asciiTheme="minorHAnsi" w:hAnsiTheme="minorHAnsi" w:cstheme="minorHAnsi"/>
                <w:b/>
                <w:sz w:val="24"/>
              </w:rPr>
              <w:t>Themen</w:t>
            </w:r>
          </w:p>
        </w:tc>
        <w:tc>
          <w:tcPr>
            <w:tcW w:w="3499" w:type="dxa"/>
            <w:shd w:val="clear" w:color="auto" w:fill="D9D9D9" w:themeFill="background1" w:themeFillShade="D9"/>
          </w:tcPr>
          <w:p w:rsidR="00E73087" w:rsidRPr="00FC1C3D" w:rsidRDefault="00E73087" w:rsidP="00FC1C3D">
            <w:pPr>
              <w:pStyle w:val="KeinLeerraum"/>
              <w:ind w:left="57"/>
              <w:rPr>
                <w:rFonts w:asciiTheme="minorHAnsi" w:hAnsiTheme="minorHAnsi" w:cstheme="minorHAnsi"/>
                <w:b/>
                <w:sz w:val="24"/>
              </w:rPr>
            </w:pPr>
            <w:r w:rsidRPr="00FC1C3D">
              <w:rPr>
                <w:rFonts w:asciiTheme="minorHAnsi" w:hAnsiTheme="minorHAnsi" w:cstheme="minorHAnsi"/>
                <w:b/>
                <w:sz w:val="24"/>
              </w:rPr>
              <w:t>Unterpunkte</w:t>
            </w:r>
          </w:p>
        </w:tc>
        <w:tc>
          <w:tcPr>
            <w:tcW w:w="5062" w:type="dxa"/>
            <w:shd w:val="clear" w:color="auto" w:fill="D9D9D9" w:themeFill="background1" w:themeFillShade="D9"/>
          </w:tcPr>
          <w:p w:rsidR="00E73087" w:rsidRPr="00FC1C3D" w:rsidRDefault="00861E99" w:rsidP="00FC1C3D">
            <w:pPr>
              <w:pStyle w:val="KeinLeerraum"/>
              <w:ind w:left="5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Umsetzung im Fach Mathematik</w:t>
            </w:r>
          </w:p>
        </w:tc>
      </w:tr>
      <w:tr w:rsidR="00E73087" w:rsidRPr="001C1816" w:rsidTr="00FC1C3D">
        <w:trPr>
          <w:cantSplit/>
          <w:trHeight w:val="1962"/>
          <w:tblHeader/>
        </w:trPr>
        <w:tc>
          <w:tcPr>
            <w:tcW w:w="1038" w:type="dxa"/>
            <w:shd w:val="clear" w:color="auto" w:fill="A50021"/>
            <w:textDirection w:val="btLr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Kooperation zwischen Schulen</w:t>
            </w:r>
          </w:p>
        </w:tc>
        <w:tc>
          <w:tcPr>
            <w:tcW w:w="3499" w:type="dxa"/>
            <w:shd w:val="clear" w:color="auto" w:fill="FBE4D5" w:themeFill="accent2" w:themeFillTint="33"/>
          </w:tcPr>
          <w:p w:rsidR="00E73087" w:rsidRPr="00FC1C3D" w:rsidRDefault="00E73087" w:rsidP="00FC1C3D">
            <w:pPr>
              <w:ind w:left="57"/>
              <w:rPr>
                <w:rFonts w:eastAsia="Calibri"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Übungsmaterial für die Übergangszeit bereitstellen</w:t>
            </w:r>
          </w:p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062" w:type="dxa"/>
            <w:shd w:val="clear" w:color="auto" w:fill="FBE4D5" w:themeFill="accent2" w:themeFillTint="33"/>
          </w:tcPr>
          <w:p w:rsidR="00861E99" w:rsidRDefault="00E73087" w:rsidP="00861E99">
            <w:pPr>
              <w:pStyle w:val="Aufz1"/>
              <w:ind w:left="57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 xml:space="preserve">Es gibt 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bereits eine Mathebrücke unter </w:t>
            </w:r>
            <w:hyperlink r:id="rId6" w:history="1">
              <w:r w:rsidR="00861E99" w:rsidRPr="00AD1D7A">
                <w:rPr>
                  <w:rStyle w:val="Hyperlink"/>
                  <w:rFonts w:asciiTheme="minorHAnsi" w:hAnsiTheme="minorHAnsi" w:cstheme="minorHAnsi"/>
                  <w:sz w:val="24"/>
                </w:rPr>
                <w:t>www.mathebrücke.de</w:t>
              </w:r>
            </w:hyperlink>
            <w:r w:rsidR="00861E99">
              <w:rPr>
                <w:rFonts w:asciiTheme="minorHAnsi" w:hAnsiTheme="minorHAnsi" w:cstheme="minorHAnsi"/>
                <w:sz w:val="24"/>
              </w:rPr>
              <w:t xml:space="preserve">. 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Für den Einstieg mit 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der 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Mathebrücke 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in der Eingangsklasse bzw. im Berufskolleg </w:t>
            </w:r>
            <w:r w:rsidR="00861E99">
              <w:rPr>
                <w:rFonts w:asciiTheme="minorHAnsi" w:hAnsiTheme="minorHAnsi" w:cstheme="minorHAnsi"/>
                <w:sz w:val="24"/>
              </w:rPr>
              <w:t>soll eine Kooperation mit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 Lehrkräften der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 Sek I aufgebaut werden, damit z. B. </w:t>
            </w:r>
            <w:r w:rsidR="00861E99">
              <w:rPr>
                <w:rFonts w:asciiTheme="minorHAnsi" w:hAnsiTheme="minorHAnsi" w:cstheme="minorHAnsi"/>
                <w:sz w:val="24"/>
              </w:rPr>
              <w:t>ein Austausch über die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 Realschulabschluss</w:t>
            </w:r>
            <w:r w:rsidR="00861E99">
              <w:rPr>
                <w:rFonts w:asciiTheme="minorHAnsi" w:hAnsiTheme="minorHAnsi" w:cstheme="minorHAnsi"/>
                <w:sz w:val="24"/>
              </w:rPr>
              <w:t>-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prüfung und 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die persönlichen </w:t>
            </w:r>
            <w:r w:rsidR="00861E99">
              <w:rPr>
                <w:rFonts w:asciiTheme="minorHAnsi" w:hAnsiTheme="minorHAnsi" w:cstheme="minorHAnsi"/>
                <w:sz w:val="24"/>
              </w:rPr>
              <w:t>Er</w:t>
            </w:r>
            <w:r w:rsidR="00861E99">
              <w:rPr>
                <w:rFonts w:asciiTheme="minorHAnsi" w:hAnsiTheme="minorHAnsi" w:cstheme="minorHAnsi"/>
                <w:sz w:val="24"/>
              </w:rPr>
              <w:t>fahrungen</w:t>
            </w:r>
            <w:r w:rsidR="00861E99">
              <w:rPr>
                <w:rFonts w:asciiTheme="minorHAnsi" w:hAnsiTheme="minorHAnsi" w:cstheme="minorHAnsi"/>
                <w:sz w:val="24"/>
              </w:rPr>
              <w:t xml:space="preserve"> stattfindet.</w:t>
            </w:r>
          </w:p>
          <w:p w:rsidR="00E73087" w:rsidRPr="00FC1C3D" w:rsidRDefault="00E73087" w:rsidP="00FC1C3D">
            <w:pPr>
              <w:pStyle w:val="Aufz1"/>
              <w:ind w:left="57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3087" w:rsidRPr="00F27E48" w:rsidTr="00FC1C3D">
        <w:trPr>
          <w:cantSplit/>
          <w:trHeight w:val="1723"/>
          <w:tblHeader/>
        </w:trPr>
        <w:tc>
          <w:tcPr>
            <w:tcW w:w="1038" w:type="dxa"/>
            <w:shd w:val="clear" w:color="auto" w:fill="ED7D31" w:themeFill="accent2"/>
            <w:textDirection w:val="btLr"/>
          </w:tcPr>
          <w:p w:rsidR="00E73087" w:rsidRPr="00FC1C3D" w:rsidRDefault="00861E99" w:rsidP="00FC1C3D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Pädagogische Di</w:t>
            </w:r>
            <w:r w:rsidR="00E73087" w:rsidRPr="00FC1C3D">
              <w:rPr>
                <w:rFonts w:asciiTheme="minorHAnsi" w:hAnsiTheme="minorHAnsi" w:cstheme="minorHAnsi"/>
                <w:sz w:val="24"/>
              </w:rPr>
              <w:t>agnose</w:t>
            </w:r>
          </w:p>
        </w:tc>
        <w:tc>
          <w:tcPr>
            <w:tcW w:w="3499" w:type="dxa"/>
            <w:shd w:val="clear" w:color="auto" w:fill="FFF2CC" w:themeFill="accent4" w:themeFillTint="33"/>
          </w:tcPr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Selbsteinschätzung mit Hilfe von passenden Diagnoseinstrumenten durchführen</w:t>
            </w:r>
          </w:p>
          <w:p w:rsidR="00E73087" w:rsidRPr="00FC1C3D" w:rsidRDefault="00E73087" w:rsidP="00FC1C3D">
            <w:pPr>
              <w:rPr>
                <w:rFonts w:cstheme="minorHAnsi"/>
                <w:sz w:val="24"/>
              </w:rPr>
            </w:pPr>
          </w:p>
        </w:tc>
        <w:tc>
          <w:tcPr>
            <w:tcW w:w="5062" w:type="dxa"/>
            <w:shd w:val="clear" w:color="auto" w:fill="FFF2CC" w:themeFill="accent4" w:themeFillTint="33"/>
          </w:tcPr>
          <w:p w:rsidR="00FC1C3D" w:rsidRDefault="00E73087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Kopfübungen</w:t>
            </w:r>
            <w:r w:rsidR="00FC1C3D">
              <w:rPr>
                <w:rFonts w:asciiTheme="minorHAnsi" w:hAnsiTheme="minorHAnsi" w:cstheme="minorHAnsi"/>
                <w:sz w:val="24"/>
              </w:rPr>
              <w:t xml:space="preserve"> Serie A und B mit unterschiedlichen Schwerpunkten</w:t>
            </w:r>
          </w:p>
          <w:p w:rsidR="00FC1C3D" w:rsidRDefault="00861E99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WADIs </w:t>
            </w:r>
          </w:p>
          <w:p w:rsidR="00861E99" w:rsidRDefault="00861E99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Selbsteinschätzungsbogen</w:t>
            </w:r>
          </w:p>
          <w:p w:rsidR="00861E99" w:rsidRDefault="00861E99" w:rsidP="00861E99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Ich-kann-Listen</w:t>
            </w:r>
          </w:p>
          <w:p w:rsidR="00861E99" w:rsidRPr="00FC1C3D" w:rsidRDefault="00861E99" w:rsidP="00FC1C3D">
            <w:pPr>
              <w:pStyle w:val="Aufz1"/>
              <w:numPr>
                <w:ilvl w:val="0"/>
                <w:numId w:val="7"/>
              </w:numPr>
              <w:spacing w:after="12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Check-Out</w:t>
            </w:r>
          </w:p>
        </w:tc>
      </w:tr>
      <w:tr w:rsidR="00E73087" w:rsidRPr="00F27E48" w:rsidTr="00FC1C3D">
        <w:trPr>
          <w:trHeight w:val="2429"/>
        </w:trPr>
        <w:tc>
          <w:tcPr>
            <w:tcW w:w="1038" w:type="dxa"/>
            <w:shd w:val="clear" w:color="auto" w:fill="538135" w:themeFill="accent6" w:themeFillShade="BF"/>
            <w:textDirection w:val="btLr"/>
          </w:tcPr>
          <w:p w:rsidR="00E73087" w:rsidRPr="00FC1C3D" w:rsidRDefault="00E73087" w:rsidP="00FC1C3D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 xml:space="preserve"> Binnendifferenzierung</w:t>
            </w:r>
          </w:p>
        </w:tc>
        <w:tc>
          <w:tcPr>
            <w:tcW w:w="3499" w:type="dxa"/>
            <w:shd w:val="clear" w:color="auto" w:fill="C5E0B3" w:themeFill="accent6" w:themeFillTint="66"/>
          </w:tcPr>
          <w:p w:rsidR="00E73087" w:rsidRPr="00FC1C3D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Nach verschiedenen Kriterien differenzierte Lernmaterialien bereitstellen</w:t>
            </w:r>
          </w:p>
          <w:p w:rsidR="0068076D" w:rsidRDefault="0068076D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Vorerfahrung / Vorwissen</w:t>
            </w:r>
          </w:p>
          <w:p w:rsidR="0068076D" w:rsidRDefault="0068076D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Umfang / Tempo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Schwierigkeitsgrad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Grad der Selbstständigkeit</w:t>
            </w:r>
          </w:p>
          <w:p w:rsidR="00E73087" w:rsidRPr="00FC1C3D" w:rsidRDefault="00E73087" w:rsidP="00FC1C3D">
            <w:pPr>
              <w:pStyle w:val="Listenabsatz"/>
              <w:numPr>
                <w:ilvl w:val="0"/>
                <w:numId w:val="10"/>
              </w:numPr>
              <w:spacing w:after="0"/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Kooperation / Sozialform</w:t>
            </w:r>
          </w:p>
        </w:tc>
        <w:tc>
          <w:tcPr>
            <w:tcW w:w="5062" w:type="dxa"/>
            <w:shd w:val="clear" w:color="auto" w:fill="C5E0B3" w:themeFill="accent6" w:themeFillTint="66"/>
          </w:tcPr>
          <w:p w:rsidR="002F2874" w:rsidRPr="00FC1C3D" w:rsidRDefault="0068076D" w:rsidP="002F2874">
            <w:pPr>
              <w:pStyle w:val="Listenabsatz"/>
              <w:numPr>
                <w:ilvl w:val="0"/>
                <w:numId w:val="5"/>
              </w:numPr>
              <w:spacing w:after="0"/>
              <w:ind w:left="425" w:hanging="283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Aufgabenvielfalt</w:t>
            </w:r>
            <w:r w:rsidR="002F2874" w:rsidRPr="00FC1C3D"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>in verschiedenen Niveaustufen und Kompetenzorientierung</w:t>
            </w:r>
          </w:p>
          <w:p w:rsidR="00E73087" w:rsidRPr="0068076D" w:rsidRDefault="0068076D" w:rsidP="00FC1C3D">
            <w:pPr>
              <w:pStyle w:val="Listenabsatz"/>
              <w:numPr>
                <w:ilvl w:val="0"/>
                <w:numId w:val="5"/>
              </w:numPr>
              <w:spacing w:after="0"/>
              <w:ind w:left="425" w:hanging="283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Wechselnde Sozialformen (individuelle und kooperative Lernformen) </w:t>
            </w:r>
          </w:p>
          <w:p w:rsidR="0068076D" w:rsidRPr="00FC1C3D" w:rsidRDefault="0068076D" w:rsidP="0068076D">
            <w:pPr>
              <w:pStyle w:val="Listenabsatz"/>
              <w:numPr>
                <w:ilvl w:val="0"/>
                <w:numId w:val="5"/>
              </w:numPr>
              <w:spacing w:after="0"/>
              <w:ind w:left="425" w:hanging="283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Bei Plattformarbeit selbständige Wahl von Sozialform, Lerntempo, Schwierigkeitsgrad</w:t>
            </w:r>
          </w:p>
        </w:tc>
      </w:tr>
      <w:tr w:rsidR="00E73087" w:rsidRPr="00F27E48" w:rsidTr="00FC1C3D">
        <w:trPr>
          <w:trHeight w:val="2852"/>
        </w:trPr>
        <w:tc>
          <w:tcPr>
            <w:tcW w:w="1038" w:type="dxa"/>
            <w:shd w:val="clear" w:color="auto" w:fill="7030A0"/>
            <w:textDirection w:val="btLr"/>
          </w:tcPr>
          <w:p w:rsidR="00E73087" w:rsidRPr="00FC1C3D" w:rsidRDefault="00BF2E00" w:rsidP="00BF2E00">
            <w:pPr>
              <w:pStyle w:val="KeinLeerraum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Lernreflexion und -</w:t>
            </w:r>
            <w:r w:rsidR="00E73087" w:rsidRPr="00FC1C3D">
              <w:rPr>
                <w:rFonts w:asciiTheme="minorHAnsi" w:hAnsiTheme="minorHAnsi" w:cstheme="minorHAnsi"/>
                <w:sz w:val="24"/>
              </w:rPr>
              <w:t>organisation</w:t>
            </w:r>
          </w:p>
        </w:tc>
        <w:tc>
          <w:tcPr>
            <w:tcW w:w="3499" w:type="dxa"/>
            <w:shd w:val="clear" w:color="auto" w:fill="DAC2EC"/>
          </w:tcPr>
          <w:p w:rsidR="00E73087" w:rsidRDefault="00E73087" w:rsidP="00FC1C3D">
            <w:pPr>
              <w:ind w:left="57"/>
              <w:rPr>
                <w:rFonts w:cstheme="minorHAnsi"/>
                <w:sz w:val="24"/>
              </w:rPr>
            </w:pPr>
            <w:r w:rsidRPr="00FC1C3D">
              <w:rPr>
                <w:rFonts w:cstheme="minorHAnsi"/>
                <w:sz w:val="24"/>
              </w:rPr>
              <w:t>Lernfortschritte sichtbar machen und dokumentieren</w:t>
            </w:r>
          </w:p>
          <w:p w:rsidR="00F614A2" w:rsidRDefault="00F614A2" w:rsidP="00FC1C3D">
            <w:pPr>
              <w:ind w:left="57"/>
              <w:rPr>
                <w:rFonts w:cstheme="minorHAnsi"/>
                <w:sz w:val="24"/>
              </w:rPr>
            </w:pPr>
          </w:p>
          <w:p w:rsidR="00F614A2" w:rsidRPr="00FC1C3D" w:rsidRDefault="00F614A2" w:rsidP="00F614A2">
            <w:pPr>
              <w:rPr>
                <w:rFonts w:cstheme="minorHAnsi"/>
                <w:sz w:val="24"/>
              </w:rPr>
            </w:pPr>
          </w:p>
        </w:tc>
        <w:tc>
          <w:tcPr>
            <w:tcW w:w="5062" w:type="dxa"/>
            <w:shd w:val="clear" w:color="auto" w:fill="DAC2EC"/>
          </w:tcPr>
          <w:p w:rsidR="00E73087" w:rsidRDefault="00E73087" w:rsidP="00FC1C3D">
            <w:pPr>
              <w:pStyle w:val="Aufz1"/>
              <w:numPr>
                <w:ilvl w:val="0"/>
                <w:numId w:val="8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 w:rsidRPr="00FC1C3D">
              <w:rPr>
                <w:rFonts w:asciiTheme="minorHAnsi" w:hAnsiTheme="minorHAnsi" w:cstheme="minorHAnsi"/>
                <w:sz w:val="24"/>
              </w:rPr>
              <w:t>Kopfübungen</w:t>
            </w:r>
          </w:p>
          <w:p w:rsidR="00F614A2" w:rsidRDefault="00F614A2" w:rsidP="00FC1C3D">
            <w:pPr>
              <w:pStyle w:val="Aufz1"/>
              <w:numPr>
                <w:ilvl w:val="0"/>
                <w:numId w:val="8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WADIs</w:t>
            </w:r>
          </w:p>
          <w:p w:rsidR="00F614A2" w:rsidRPr="00FC1C3D" w:rsidRDefault="00F614A2" w:rsidP="00FC1C3D">
            <w:pPr>
              <w:pStyle w:val="Aufz1"/>
              <w:numPr>
                <w:ilvl w:val="0"/>
                <w:numId w:val="8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Kurztests</w:t>
            </w:r>
          </w:p>
        </w:tc>
      </w:tr>
      <w:tr w:rsidR="002F2874" w:rsidRPr="00F27E48" w:rsidTr="002F2874">
        <w:trPr>
          <w:trHeight w:val="2019"/>
        </w:trPr>
        <w:tc>
          <w:tcPr>
            <w:tcW w:w="1038" w:type="dxa"/>
            <w:shd w:val="clear" w:color="auto" w:fill="00B0F0"/>
            <w:textDirection w:val="btLr"/>
          </w:tcPr>
          <w:p w:rsidR="002F2874" w:rsidRDefault="002F2874" w:rsidP="00FC1C3D">
            <w:pPr>
              <w:pStyle w:val="KeinLeerraum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 xml:space="preserve">Fach- und </w:t>
            </w:r>
          </w:p>
          <w:p w:rsidR="002F2874" w:rsidRPr="002F2874" w:rsidRDefault="002F2874" w:rsidP="00FC1C3D">
            <w:pPr>
              <w:pStyle w:val="KeinLeerraum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>Lerncoaching</w:t>
            </w:r>
          </w:p>
        </w:tc>
        <w:tc>
          <w:tcPr>
            <w:tcW w:w="3499" w:type="dxa"/>
            <w:shd w:val="clear" w:color="auto" w:fill="ABDBFF"/>
          </w:tcPr>
          <w:p w:rsidR="002F2874" w:rsidRPr="002F2874" w:rsidRDefault="002F2874" w:rsidP="002F2874">
            <w:pPr>
              <w:rPr>
                <w:rFonts w:eastAsia="Calibri" w:cstheme="minorHAnsi"/>
                <w:sz w:val="24"/>
              </w:rPr>
            </w:pPr>
            <w:r w:rsidRPr="002F2874">
              <w:rPr>
                <w:rFonts w:cstheme="minorHAnsi"/>
                <w:sz w:val="24"/>
              </w:rPr>
              <w:t>Lernfort</w:t>
            </w:r>
            <w:r w:rsidR="00F614A2">
              <w:rPr>
                <w:rFonts w:cstheme="minorHAnsi"/>
                <w:sz w:val="24"/>
              </w:rPr>
              <w:t>schritts- und Zielvereinbarungs</w:t>
            </w:r>
            <w:r w:rsidRPr="002F2874">
              <w:rPr>
                <w:rFonts w:cstheme="minorHAnsi"/>
                <w:sz w:val="24"/>
              </w:rPr>
              <w:t xml:space="preserve">gespräche regelmäßig führen </w:t>
            </w:r>
          </w:p>
          <w:p w:rsidR="002F2874" w:rsidRPr="002F2874" w:rsidRDefault="002F2874" w:rsidP="002F2874">
            <w:pPr>
              <w:pStyle w:val="Listenabsatz"/>
              <w:numPr>
                <w:ilvl w:val="0"/>
                <w:numId w:val="5"/>
              </w:numPr>
              <w:spacing w:after="0"/>
              <w:ind w:left="459" w:hanging="283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>Selbst gesteckte Ziele benennen</w:t>
            </w:r>
          </w:p>
          <w:p w:rsidR="002F2874" w:rsidRPr="002F2874" w:rsidRDefault="002F2874" w:rsidP="002F2874">
            <w:pPr>
              <w:pStyle w:val="Listenabsatz"/>
              <w:numPr>
                <w:ilvl w:val="0"/>
                <w:numId w:val="5"/>
              </w:numPr>
              <w:spacing w:after="0"/>
              <w:ind w:left="459" w:hanging="283"/>
              <w:rPr>
                <w:rFonts w:asciiTheme="minorHAnsi" w:hAnsiTheme="minorHAnsi" w:cstheme="minorHAnsi"/>
                <w:sz w:val="24"/>
              </w:rPr>
            </w:pPr>
            <w:r w:rsidRPr="002F2874">
              <w:rPr>
                <w:rFonts w:asciiTheme="minorHAnsi" w:hAnsiTheme="minorHAnsi" w:cstheme="minorHAnsi"/>
                <w:sz w:val="24"/>
              </w:rPr>
              <w:t>Maßnahmen zur Zielerreichung formulieren</w:t>
            </w:r>
          </w:p>
        </w:tc>
        <w:tc>
          <w:tcPr>
            <w:tcW w:w="5062" w:type="dxa"/>
            <w:shd w:val="clear" w:color="auto" w:fill="ABDBFF"/>
          </w:tcPr>
          <w:p w:rsidR="001462B4" w:rsidRPr="001462B4" w:rsidRDefault="001462B4" w:rsidP="001462B4">
            <w:pPr>
              <w:pStyle w:val="Aufz1"/>
              <w:numPr>
                <w:ilvl w:val="0"/>
                <w:numId w:val="13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Möglichkeit für Fachcoaching durch </w:t>
            </w:r>
            <w:r w:rsidR="00F614A2">
              <w:rPr>
                <w:rFonts w:asciiTheme="minorHAnsi" w:hAnsiTheme="minorHAnsi" w:cstheme="minorHAnsi"/>
                <w:color w:val="auto"/>
                <w:sz w:val="24"/>
              </w:rPr>
              <w:t xml:space="preserve">viele kooperative 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Lernformen </w:t>
            </w:r>
          </w:p>
          <w:p w:rsidR="001462B4" w:rsidRPr="002F2874" w:rsidRDefault="001462B4" w:rsidP="001462B4">
            <w:pPr>
              <w:pStyle w:val="Aufz1"/>
              <w:numPr>
                <w:ilvl w:val="0"/>
                <w:numId w:val="13"/>
              </w:numPr>
              <w:ind w:left="502"/>
              <w:rPr>
                <w:rFonts w:asciiTheme="minorHAnsi" w:hAnsiTheme="minorHAnsi" w:cstheme="minorHAnsi"/>
                <w:sz w:val="24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color w:val="auto"/>
                <w:sz w:val="24"/>
              </w:rPr>
              <w:t>Testresultate zu Beratungssituationen heranziehen</w:t>
            </w:r>
          </w:p>
        </w:tc>
      </w:tr>
    </w:tbl>
    <w:p w:rsidR="001470AD" w:rsidRDefault="001470AD" w:rsidP="00861E99">
      <w:pPr>
        <w:pStyle w:val="berschrift1"/>
        <w:numPr>
          <w:ilvl w:val="0"/>
          <w:numId w:val="0"/>
        </w:numPr>
        <w:ind w:left="360"/>
      </w:pPr>
    </w:p>
    <w:sectPr w:rsidR="001470AD" w:rsidSect="00FC1C3D"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D16"/>
    <w:multiLevelType w:val="hybridMultilevel"/>
    <w:tmpl w:val="594C3C6A"/>
    <w:lvl w:ilvl="0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">
    <w:nsid w:val="04527608"/>
    <w:multiLevelType w:val="hybridMultilevel"/>
    <w:tmpl w:val="D7B02DBC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E048F"/>
    <w:multiLevelType w:val="hybridMultilevel"/>
    <w:tmpl w:val="FECEBB74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8C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B4159"/>
    <w:multiLevelType w:val="hybridMultilevel"/>
    <w:tmpl w:val="5AA2912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>
    <w:nsid w:val="1BA71147"/>
    <w:multiLevelType w:val="hybridMultilevel"/>
    <w:tmpl w:val="0B5ADA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1D0D10"/>
    <w:multiLevelType w:val="hybridMultilevel"/>
    <w:tmpl w:val="C69E594A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">
    <w:nsid w:val="29C34A4A"/>
    <w:multiLevelType w:val="hybridMultilevel"/>
    <w:tmpl w:val="7E225E6A"/>
    <w:lvl w:ilvl="0" w:tplc="0407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>
    <w:nsid w:val="29C700A7"/>
    <w:multiLevelType w:val="hybridMultilevel"/>
    <w:tmpl w:val="501250FE"/>
    <w:lvl w:ilvl="0" w:tplc="59A8DE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143377"/>
    <w:multiLevelType w:val="hybridMultilevel"/>
    <w:tmpl w:val="521EAD7C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C3CE4"/>
    <w:multiLevelType w:val="hybridMultilevel"/>
    <w:tmpl w:val="69F8B80A"/>
    <w:lvl w:ilvl="0" w:tplc="59A8DE4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0">
    <w:nsid w:val="36690C84"/>
    <w:multiLevelType w:val="hybridMultilevel"/>
    <w:tmpl w:val="814A7514"/>
    <w:lvl w:ilvl="0" w:tplc="71E616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1A97C55"/>
    <w:multiLevelType w:val="hybridMultilevel"/>
    <w:tmpl w:val="7BA87AAE"/>
    <w:lvl w:ilvl="0" w:tplc="59A8D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8C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10E4B"/>
    <w:multiLevelType w:val="hybridMultilevel"/>
    <w:tmpl w:val="CD54C8F2"/>
    <w:lvl w:ilvl="0" w:tplc="59A8DE44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0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 w:numId="10">
    <w:abstractNumId w:val="0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AD"/>
    <w:rsid w:val="0000210E"/>
    <w:rsid w:val="000B6753"/>
    <w:rsid w:val="001462B4"/>
    <w:rsid w:val="001470AD"/>
    <w:rsid w:val="00185DFE"/>
    <w:rsid w:val="00193C2A"/>
    <w:rsid w:val="001D116B"/>
    <w:rsid w:val="00257175"/>
    <w:rsid w:val="002F2874"/>
    <w:rsid w:val="002F28C1"/>
    <w:rsid w:val="00314F7E"/>
    <w:rsid w:val="003263A3"/>
    <w:rsid w:val="00334483"/>
    <w:rsid w:val="003856F5"/>
    <w:rsid w:val="003E4A12"/>
    <w:rsid w:val="005B3021"/>
    <w:rsid w:val="005C0842"/>
    <w:rsid w:val="0068076D"/>
    <w:rsid w:val="007D4178"/>
    <w:rsid w:val="00860F1D"/>
    <w:rsid w:val="00861E99"/>
    <w:rsid w:val="008D1800"/>
    <w:rsid w:val="00A57C7B"/>
    <w:rsid w:val="00BE23E8"/>
    <w:rsid w:val="00BF0590"/>
    <w:rsid w:val="00BF2E00"/>
    <w:rsid w:val="00CF5F8A"/>
    <w:rsid w:val="00E16A17"/>
    <w:rsid w:val="00E73087"/>
    <w:rsid w:val="00EF61CB"/>
    <w:rsid w:val="00EF7435"/>
    <w:rsid w:val="00F614A2"/>
    <w:rsid w:val="00FC1C3D"/>
    <w:rsid w:val="00FD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link w:val="berschrift1Zchn"/>
    <w:uiPriority w:val="9"/>
    <w:qFormat/>
    <w:rsid w:val="001470AD"/>
    <w:pPr>
      <w:keepNext/>
      <w:numPr>
        <w:numId w:val="2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1470AD"/>
    <w:pPr>
      <w:keepNext/>
      <w:keepLines/>
      <w:numPr>
        <w:ilvl w:val="1"/>
        <w:numId w:val="2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1470AD"/>
    <w:pPr>
      <w:keepNext/>
      <w:keepLines/>
      <w:numPr>
        <w:ilvl w:val="2"/>
        <w:numId w:val="2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1470AD"/>
    <w:pPr>
      <w:keepNext/>
      <w:keepLines/>
      <w:numPr>
        <w:ilvl w:val="3"/>
        <w:numId w:val="2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unhideWhenUsed/>
    <w:rsid w:val="001470A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470AD"/>
  </w:style>
  <w:style w:type="paragraph" w:styleId="Textkrper-Erstzeileneinzug">
    <w:name w:val="Body Text First Indent"/>
    <w:basedOn w:val="Standard"/>
    <w:link w:val="Textkrper-ErstzeileneinzugZchn"/>
    <w:uiPriority w:val="99"/>
    <w:rsid w:val="001470AD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1470AD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470AD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470AD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70AD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470AD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470AD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1470AD"/>
    <w:rPr>
      <w:i/>
      <w:iCs/>
      <w:color w:val="404040" w:themeColor="text1" w:themeTint="BF"/>
    </w:rPr>
  </w:style>
  <w:style w:type="paragraph" w:customStyle="1" w:styleId="Aufz1">
    <w:name w:val="Aufz. 1"/>
    <w:basedOn w:val="Listenabsatz"/>
    <w:qFormat/>
    <w:rsid w:val="00E73087"/>
    <w:pPr>
      <w:spacing w:after="0" w:line="240" w:lineRule="auto"/>
      <w:ind w:left="0"/>
    </w:pPr>
  </w:style>
  <w:style w:type="paragraph" w:styleId="Listenabsatz">
    <w:name w:val="List Paragraph"/>
    <w:basedOn w:val="Standard"/>
    <w:uiPriority w:val="34"/>
    <w:qFormat/>
    <w:rsid w:val="00E73087"/>
    <w:pPr>
      <w:spacing w:after="120"/>
      <w:ind w:left="720"/>
      <w:contextualSpacing/>
    </w:pPr>
    <w:rPr>
      <w:rFonts w:ascii="Arial" w:hAnsi="Arial"/>
    </w:rPr>
  </w:style>
  <w:style w:type="paragraph" w:styleId="KeinLeerraum">
    <w:name w:val="No Spacing"/>
    <w:uiPriority w:val="1"/>
    <w:qFormat/>
    <w:rsid w:val="00E73087"/>
    <w:pPr>
      <w:spacing w:after="0" w:line="240" w:lineRule="auto"/>
    </w:pPr>
    <w:rPr>
      <w:rFonts w:ascii="Arial" w:hAnsi="Arial"/>
    </w:rPr>
  </w:style>
  <w:style w:type="paragraph" w:customStyle="1" w:styleId="Aufz2">
    <w:name w:val="Aufz. 2"/>
    <w:basedOn w:val="Aufz1"/>
    <w:qFormat/>
    <w:rsid w:val="002F2874"/>
    <w:pPr>
      <w:ind w:left="757" w:hanging="360"/>
    </w:pPr>
  </w:style>
  <w:style w:type="character" w:styleId="Hyperlink">
    <w:name w:val="Hyperlink"/>
    <w:basedOn w:val="Absatz-Standardschriftart"/>
    <w:uiPriority w:val="99"/>
    <w:unhideWhenUsed/>
    <w:rsid w:val="001D11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link w:val="berschrift1Zchn"/>
    <w:uiPriority w:val="9"/>
    <w:qFormat/>
    <w:rsid w:val="001470AD"/>
    <w:pPr>
      <w:keepNext/>
      <w:numPr>
        <w:numId w:val="2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1470AD"/>
    <w:pPr>
      <w:keepNext/>
      <w:keepLines/>
      <w:numPr>
        <w:ilvl w:val="1"/>
        <w:numId w:val="2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1470AD"/>
    <w:pPr>
      <w:keepNext/>
      <w:keepLines/>
      <w:numPr>
        <w:ilvl w:val="2"/>
        <w:numId w:val="2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1470AD"/>
    <w:pPr>
      <w:keepNext/>
      <w:keepLines/>
      <w:numPr>
        <w:ilvl w:val="3"/>
        <w:numId w:val="2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unhideWhenUsed/>
    <w:rsid w:val="001470A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470AD"/>
  </w:style>
  <w:style w:type="paragraph" w:styleId="Textkrper-Erstzeileneinzug">
    <w:name w:val="Body Text First Indent"/>
    <w:basedOn w:val="Standard"/>
    <w:link w:val="Textkrper-ErstzeileneinzugZchn"/>
    <w:uiPriority w:val="99"/>
    <w:rsid w:val="001470AD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1470AD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470AD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1470AD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70AD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470AD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470AD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1470AD"/>
    <w:rPr>
      <w:i/>
      <w:iCs/>
      <w:color w:val="404040" w:themeColor="text1" w:themeTint="BF"/>
    </w:rPr>
  </w:style>
  <w:style w:type="paragraph" w:customStyle="1" w:styleId="Aufz1">
    <w:name w:val="Aufz. 1"/>
    <w:basedOn w:val="Listenabsatz"/>
    <w:qFormat/>
    <w:rsid w:val="00E73087"/>
    <w:pPr>
      <w:spacing w:after="0" w:line="240" w:lineRule="auto"/>
      <w:ind w:left="0"/>
    </w:pPr>
  </w:style>
  <w:style w:type="paragraph" w:styleId="Listenabsatz">
    <w:name w:val="List Paragraph"/>
    <w:basedOn w:val="Standard"/>
    <w:uiPriority w:val="34"/>
    <w:qFormat/>
    <w:rsid w:val="00E73087"/>
    <w:pPr>
      <w:spacing w:after="120"/>
      <w:ind w:left="720"/>
      <w:contextualSpacing/>
    </w:pPr>
    <w:rPr>
      <w:rFonts w:ascii="Arial" w:hAnsi="Arial"/>
    </w:rPr>
  </w:style>
  <w:style w:type="paragraph" w:styleId="KeinLeerraum">
    <w:name w:val="No Spacing"/>
    <w:uiPriority w:val="1"/>
    <w:qFormat/>
    <w:rsid w:val="00E73087"/>
    <w:pPr>
      <w:spacing w:after="0" w:line="240" w:lineRule="auto"/>
    </w:pPr>
    <w:rPr>
      <w:rFonts w:ascii="Arial" w:hAnsi="Arial"/>
    </w:rPr>
  </w:style>
  <w:style w:type="paragraph" w:customStyle="1" w:styleId="Aufz2">
    <w:name w:val="Aufz. 2"/>
    <w:basedOn w:val="Aufz1"/>
    <w:qFormat/>
    <w:rsid w:val="002F2874"/>
    <w:pPr>
      <w:ind w:left="757" w:hanging="360"/>
    </w:pPr>
  </w:style>
  <w:style w:type="character" w:styleId="Hyperlink">
    <w:name w:val="Hyperlink"/>
    <w:basedOn w:val="Absatz-Standardschriftart"/>
    <w:uiPriority w:val="99"/>
    <w:unhideWhenUsed/>
    <w:rsid w:val="001D11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ebr&#252;cke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3</cp:revision>
  <dcterms:created xsi:type="dcterms:W3CDTF">2017-10-16T13:11:00Z</dcterms:created>
  <dcterms:modified xsi:type="dcterms:W3CDTF">2017-10-16T13:57:00Z</dcterms:modified>
</cp:coreProperties>
</file>