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20880" w:rsidRPr="0074777E" w:rsidTr="00DE2228">
        <w:tc>
          <w:tcPr>
            <w:tcW w:w="9212" w:type="dxa"/>
            <w:vAlign w:val="center"/>
          </w:tcPr>
          <w:p w:rsidR="00120880" w:rsidRPr="0074777E" w:rsidRDefault="00120880" w:rsidP="00DE2228">
            <w:pPr>
              <w:pStyle w:val="KeinLeerraum"/>
              <w:rPr>
                <w:sz w:val="16"/>
                <w:szCs w:val="16"/>
              </w:rPr>
            </w:pPr>
          </w:p>
          <w:p w:rsidR="00120880" w:rsidRPr="0074777E" w:rsidRDefault="00120880" w:rsidP="00DE2228">
            <w:pPr>
              <w:pStyle w:val="KeinLeerraum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Grundlagen der Wahrscheinlichkeitsrechnung</w:t>
            </w:r>
          </w:p>
          <w:p w:rsidR="00120880" w:rsidRPr="0074777E" w:rsidRDefault="00120880" w:rsidP="00DE2228">
            <w:pPr>
              <w:pStyle w:val="KeinLeerraum"/>
            </w:pPr>
          </w:p>
        </w:tc>
      </w:tr>
    </w:tbl>
    <w:p w:rsidR="00120880" w:rsidRPr="0074777E" w:rsidRDefault="00120880" w:rsidP="00120880">
      <w:pPr>
        <w:pStyle w:val="KeinLeerraum"/>
      </w:pPr>
    </w:p>
    <w:p w:rsidR="00120880" w:rsidRPr="0074777E" w:rsidRDefault="00120880" w:rsidP="00120880">
      <w:pPr>
        <w:jc w:val="both"/>
        <w:rPr>
          <w:rFonts w:asciiTheme="minorHAnsi" w:hAnsiTheme="minorHAnsi" w:cs="Arial"/>
        </w:rPr>
      </w:pPr>
    </w:p>
    <w:p w:rsidR="00120880" w:rsidRDefault="00120880" w:rsidP="00120880">
      <w:pPr>
        <w:jc w:val="both"/>
        <w:rPr>
          <w:rFonts w:asciiTheme="minorHAnsi" w:hAnsiTheme="minorHAnsi" w:cs="Arial"/>
        </w:rPr>
      </w:pPr>
      <w:r w:rsidRPr="004E66AF">
        <w:rPr>
          <w:rFonts w:asciiTheme="minorHAnsi" w:hAnsiTheme="minorHAnsi" w:cs="Arial"/>
        </w:rPr>
        <w:t>Anleitung / Inhalt der Einheit:</w:t>
      </w:r>
    </w:p>
    <w:p w:rsidR="00120880" w:rsidRDefault="00120880" w:rsidP="00120880">
      <w:pPr>
        <w:jc w:val="both"/>
        <w:rPr>
          <w:rFonts w:asciiTheme="minorHAnsi" w:hAnsiTheme="minorHAnsi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7654"/>
      </w:tblGrid>
      <w:tr w:rsidR="00120880" w:rsidTr="00DE2228">
        <w:tc>
          <w:tcPr>
            <w:tcW w:w="1526" w:type="dxa"/>
          </w:tcPr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 Minuten</w:t>
            </w:r>
          </w:p>
        </w:tc>
        <w:tc>
          <w:tcPr>
            <w:tcW w:w="7654" w:type="dxa"/>
          </w:tcPr>
          <w:p w:rsidR="00120880" w:rsidRPr="00B71979" w:rsidRDefault="00120880" w:rsidP="00DE2228">
            <w:pPr>
              <w:rPr>
                <w:rFonts w:asciiTheme="minorHAnsi" w:hAnsiTheme="minorHAnsi" w:cs="Arial"/>
              </w:rPr>
            </w:pPr>
            <w:r w:rsidRPr="00B71979">
              <w:rPr>
                <w:rFonts w:asciiTheme="minorHAnsi" w:hAnsiTheme="minorHAnsi" w:cs="Arial"/>
              </w:rPr>
              <w:t xml:space="preserve">Die Einheit beginnt mit einem </w:t>
            </w:r>
            <w:proofErr w:type="spellStart"/>
            <w:r w:rsidRPr="00B71979">
              <w:rPr>
                <w:rFonts w:asciiTheme="minorHAnsi" w:hAnsiTheme="minorHAnsi" w:cs="Arial"/>
              </w:rPr>
              <w:t>Placemat</w:t>
            </w:r>
            <w:proofErr w:type="spellEnd"/>
            <w:r w:rsidRPr="00B71979">
              <w:rPr>
                <w:rFonts w:asciiTheme="minorHAnsi" w:hAnsiTheme="minorHAnsi" w:cs="Arial"/>
              </w:rPr>
              <w:t xml:space="preserve"> zum Thema Wahrscheinlichkeitsrechnung. Die Schülerinnen und Schüler notieren alle Begriffe, die ihnen zum Thema einfallen und erklären sie sich gegenseitig.</w:t>
            </w:r>
          </w:p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120880" w:rsidTr="00DE2228">
        <w:tc>
          <w:tcPr>
            <w:tcW w:w="1526" w:type="dxa"/>
          </w:tcPr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 Minuten</w:t>
            </w:r>
          </w:p>
        </w:tc>
        <w:tc>
          <w:tcPr>
            <w:tcW w:w="7654" w:type="dxa"/>
          </w:tcPr>
          <w:p w:rsidR="00120880" w:rsidRDefault="00120880" w:rsidP="00DE222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Die Schülerinnen und Schüler erhalten einen Selbsteinschätzungsbogen und kre</w:t>
            </w:r>
            <w:r>
              <w:rPr>
                <w:rFonts w:asciiTheme="minorHAnsi" w:hAnsiTheme="minorHAnsi" w:cs="Arial"/>
              </w:rPr>
              <w:t>u</w:t>
            </w:r>
            <w:r>
              <w:rPr>
                <w:rFonts w:asciiTheme="minorHAnsi" w:hAnsiTheme="minorHAnsi" w:cs="Arial"/>
              </w:rPr>
              <w:t>zen zunächst ihre spontane Selbsteinschätzung an.</w:t>
            </w:r>
          </w:p>
          <w:p w:rsidR="00120880" w:rsidRDefault="00120880" w:rsidP="00DE222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Erst anschließend erhalten die Schüler/innen das zugehörige Arbeitsblatt mit den zugehörigen Aufgaben, d.</w:t>
            </w:r>
            <w:r w:rsidR="0042479B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h. zu jeder Frage im Selbsteinschätzungsbogen gibt es maximal zwei Testaufgaben. Die Schüler</w:t>
            </w:r>
            <w:r w:rsidR="0042479B">
              <w:rPr>
                <w:rFonts w:asciiTheme="minorHAnsi" w:hAnsiTheme="minorHAnsi" w:cs="Arial"/>
              </w:rPr>
              <w:t>innen und Schüler</w:t>
            </w:r>
            <w:r>
              <w:rPr>
                <w:rFonts w:asciiTheme="minorHAnsi" w:hAnsiTheme="minorHAnsi" w:cs="Arial"/>
              </w:rPr>
              <w:t xml:space="preserve"> lösen die Aufgaben und schätzen sich danach nochmals selbst ein. </w:t>
            </w:r>
          </w:p>
          <w:p w:rsidR="00120880" w:rsidRDefault="00120880" w:rsidP="00DE222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Die Lösungen werden für die Schülerinnen und Schüler anschließend zur Verfügung gestellt, z.</w:t>
            </w:r>
            <w:r w:rsidR="0042479B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B. per Aushang.</w:t>
            </w:r>
          </w:p>
          <w:p w:rsidR="00120880" w:rsidRPr="00B71979" w:rsidRDefault="00120880" w:rsidP="00DE2228">
            <w:pPr>
              <w:rPr>
                <w:rFonts w:asciiTheme="minorHAnsi" w:hAnsiTheme="minorHAnsi" w:cs="Arial"/>
              </w:rPr>
            </w:pPr>
          </w:p>
        </w:tc>
      </w:tr>
      <w:tr w:rsidR="00120880" w:rsidTr="00DE2228">
        <w:tc>
          <w:tcPr>
            <w:tcW w:w="1526" w:type="dxa"/>
          </w:tcPr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 Minuten</w:t>
            </w:r>
          </w:p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+</w:t>
            </w:r>
          </w:p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45 Minuten</w:t>
            </w:r>
          </w:p>
        </w:tc>
        <w:tc>
          <w:tcPr>
            <w:tcW w:w="7654" w:type="dxa"/>
          </w:tcPr>
          <w:p w:rsidR="00120880" w:rsidRDefault="00120880" w:rsidP="00DE222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Die Schülerinnen und Schüler üben anschließend aufgrund ihrer zweiten Selbstei</w:t>
            </w:r>
            <w:r>
              <w:rPr>
                <w:rFonts w:asciiTheme="minorHAnsi" w:hAnsiTheme="minorHAnsi" w:cs="Arial"/>
              </w:rPr>
              <w:t>n</w:t>
            </w:r>
            <w:r>
              <w:rPr>
                <w:rFonts w:asciiTheme="minorHAnsi" w:hAnsiTheme="minorHAnsi" w:cs="Arial"/>
              </w:rPr>
              <w:t>sch</w:t>
            </w:r>
            <w:r w:rsidR="001C3A45">
              <w:rPr>
                <w:rFonts w:asciiTheme="minorHAnsi" w:hAnsiTheme="minorHAnsi" w:cs="Arial"/>
              </w:rPr>
              <w:t>ätzung individuell oder f</w:t>
            </w:r>
            <w:bookmarkStart w:id="0" w:name="_GoBack"/>
            <w:bookmarkEnd w:id="0"/>
            <w:r w:rsidR="0042479B">
              <w:rPr>
                <w:rFonts w:asciiTheme="minorHAnsi" w:hAnsiTheme="minorHAnsi" w:cs="Arial"/>
              </w:rPr>
              <w:t>ragetechnisch</w:t>
            </w:r>
            <w:r>
              <w:rPr>
                <w:rFonts w:asciiTheme="minorHAnsi" w:hAnsiTheme="minorHAnsi" w:cs="Arial"/>
              </w:rPr>
              <w:t xml:space="preserve"> (lehrerzentriert für Kleingruppe)</w:t>
            </w:r>
            <w:r w:rsidR="0042479B">
              <w:rPr>
                <w:rFonts w:asciiTheme="minorHAnsi" w:hAnsiTheme="minorHAnsi" w:cs="Arial"/>
              </w:rPr>
              <w:t>,</w:t>
            </w:r>
          </w:p>
          <w:p w:rsidR="00120880" w:rsidRDefault="0042479B" w:rsidP="00DE222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="00120880">
              <w:rPr>
                <w:rFonts w:asciiTheme="minorHAnsi" w:hAnsiTheme="minorHAnsi" w:cs="Arial"/>
              </w:rPr>
              <w:t>zw. Aufgaben aus dem Buch oder anderes Material</w:t>
            </w:r>
            <w:r>
              <w:rPr>
                <w:rFonts w:asciiTheme="minorHAnsi" w:hAnsiTheme="minorHAnsi" w:cs="Arial"/>
              </w:rPr>
              <w:t>.</w:t>
            </w:r>
          </w:p>
        </w:tc>
      </w:tr>
      <w:tr w:rsidR="00120880" w:rsidTr="00DE2228">
        <w:tc>
          <w:tcPr>
            <w:tcW w:w="1526" w:type="dxa"/>
          </w:tcPr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7654" w:type="dxa"/>
          </w:tcPr>
          <w:p w:rsidR="00120880" w:rsidRDefault="00120880" w:rsidP="00DE2228">
            <w:pPr>
              <w:rPr>
                <w:rFonts w:asciiTheme="minorHAnsi" w:hAnsiTheme="minorHAnsi" w:cs="Arial"/>
              </w:rPr>
            </w:pPr>
          </w:p>
        </w:tc>
      </w:tr>
      <w:tr w:rsidR="00120880" w:rsidTr="00DE2228">
        <w:tc>
          <w:tcPr>
            <w:tcW w:w="1526" w:type="dxa"/>
          </w:tcPr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 Minuten</w:t>
            </w:r>
          </w:p>
        </w:tc>
        <w:tc>
          <w:tcPr>
            <w:tcW w:w="7654" w:type="dxa"/>
          </w:tcPr>
          <w:p w:rsidR="00120880" w:rsidRDefault="00120880" w:rsidP="00DE222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Vorarbeit für das Strukturlegen (3er-Gespräch)</w:t>
            </w:r>
          </w:p>
        </w:tc>
      </w:tr>
      <w:tr w:rsidR="00120880" w:rsidTr="00DE2228">
        <w:tc>
          <w:tcPr>
            <w:tcW w:w="1526" w:type="dxa"/>
          </w:tcPr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7654" w:type="dxa"/>
          </w:tcPr>
          <w:p w:rsidR="00120880" w:rsidRDefault="00120880" w:rsidP="00DE2228">
            <w:pPr>
              <w:rPr>
                <w:rFonts w:asciiTheme="minorHAnsi" w:hAnsiTheme="minorHAnsi" w:cs="Arial"/>
              </w:rPr>
            </w:pPr>
          </w:p>
        </w:tc>
      </w:tr>
      <w:tr w:rsidR="00120880" w:rsidTr="00DE2228">
        <w:tc>
          <w:tcPr>
            <w:tcW w:w="1526" w:type="dxa"/>
          </w:tcPr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15 Minuten</w:t>
            </w:r>
          </w:p>
        </w:tc>
        <w:tc>
          <w:tcPr>
            <w:tcW w:w="7654" w:type="dxa"/>
          </w:tcPr>
          <w:p w:rsidR="00120880" w:rsidRDefault="00120880" w:rsidP="00DE222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Lehrervortrag (Zusammenfassung)</w:t>
            </w:r>
          </w:p>
        </w:tc>
      </w:tr>
      <w:tr w:rsidR="00120880" w:rsidTr="00DE2228">
        <w:tc>
          <w:tcPr>
            <w:tcW w:w="1526" w:type="dxa"/>
          </w:tcPr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7654" w:type="dxa"/>
          </w:tcPr>
          <w:p w:rsidR="00120880" w:rsidRDefault="00120880" w:rsidP="00DE2228">
            <w:pPr>
              <w:rPr>
                <w:rFonts w:asciiTheme="minorHAnsi" w:hAnsiTheme="minorHAnsi" w:cs="Arial"/>
              </w:rPr>
            </w:pPr>
          </w:p>
        </w:tc>
      </w:tr>
      <w:tr w:rsidR="00120880" w:rsidTr="00DE2228">
        <w:tc>
          <w:tcPr>
            <w:tcW w:w="1526" w:type="dxa"/>
          </w:tcPr>
          <w:p w:rsidR="00120880" w:rsidRDefault="00120880" w:rsidP="00DE2228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HA</w:t>
            </w:r>
          </w:p>
        </w:tc>
        <w:tc>
          <w:tcPr>
            <w:tcW w:w="7654" w:type="dxa"/>
          </w:tcPr>
          <w:p w:rsidR="00120880" w:rsidRDefault="00120880" w:rsidP="00DE222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Strukturlegen</w:t>
            </w:r>
          </w:p>
        </w:tc>
      </w:tr>
    </w:tbl>
    <w:p w:rsidR="00120880" w:rsidRPr="004E66AF" w:rsidRDefault="00120880" w:rsidP="00120880">
      <w:pPr>
        <w:jc w:val="both"/>
        <w:rPr>
          <w:rFonts w:asciiTheme="minorHAnsi" w:hAnsiTheme="minorHAnsi" w:cs="Arial"/>
        </w:rPr>
      </w:pPr>
    </w:p>
    <w:p w:rsidR="00120880" w:rsidRDefault="00120880" w:rsidP="00120880">
      <w:pPr>
        <w:pStyle w:val="Listenabsatz"/>
        <w:numPr>
          <w:ilvl w:val="0"/>
          <w:numId w:val="24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Material:</w:t>
      </w:r>
    </w:p>
    <w:p w:rsidR="0042479B" w:rsidRDefault="0042479B" w:rsidP="00120880">
      <w:pPr>
        <w:pStyle w:val="Listenabsatz"/>
        <w:numPr>
          <w:ilvl w:val="1"/>
          <w:numId w:val="24"/>
        </w:numPr>
        <w:ind w:left="709" w:firstLine="0"/>
        <w:rPr>
          <w:rFonts w:asciiTheme="minorHAnsi" w:hAnsiTheme="minorHAnsi" w:cs="Arial"/>
        </w:rPr>
      </w:pPr>
      <w:proofErr w:type="spellStart"/>
      <w:r>
        <w:rPr>
          <w:rFonts w:asciiTheme="minorHAnsi" w:hAnsiTheme="minorHAnsi" w:cs="Arial"/>
        </w:rPr>
        <w:t>Placemat</w:t>
      </w:r>
      <w:proofErr w:type="spellEnd"/>
    </w:p>
    <w:p w:rsidR="00120880" w:rsidRDefault="00120880" w:rsidP="00120880">
      <w:pPr>
        <w:pStyle w:val="Listenabsatz"/>
        <w:numPr>
          <w:ilvl w:val="1"/>
          <w:numId w:val="24"/>
        </w:numPr>
        <w:ind w:left="709" w:firstLine="0"/>
        <w:rPr>
          <w:rFonts w:asciiTheme="minorHAnsi" w:hAnsiTheme="minorHAnsi" w:cs="Arial"/>
        </w:rPr>
      </w:pPr>
      <w:r w:rsidRPr="004E66AF">
        <w:rPr>
          <w:rFonts w:asciiTheme="minorHAnsi" w:hAnsiTheme="minorHAnsi" w:cs="Arial"/>
        </w:rPr>
        <w:t>Selbsteinschätzung</w:t>
      </w:r>
      <w:r>
        <w:rPr>
          <w:rFonts w:asciiTheme="minorHAnsi" w:hAnsiTheme="minorHAnsi" w:cs="Arial"/>
        </w:rPr>
        <w:t>sbogen</w:t>
      </w:r>
    </w:p>
    <w:p w:rsidR="00120880" w:rsidRDefault="00120880" w:rsidP="00120880">
      <w:pPr>
        <w:pStyle w:val="Listenabsatz"/>
        <w:numPr>
          <w:ilvl w:val="1"/>
          <w:numId w:val="24"/>
        </w:numPr>
        <w:ind w:left="709" w:firstLine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Testaufgaben (pro Schüler)</w:t>
      </w:r>
      <w:r w:rsidR="0042479B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+ Lösungen (zum Aushängen)</w:t>
      </w:r>
    </w:p>
    <w:p w:rsidR="00120880" w:rsidRDefault="00120880" w:rsidP="00120880">
      <w:pPr>
        <w:pStyle w:val="Listenabsatz"/>
        <w:numPr>
          <w:ilvl w:val="1"/>
          <w:numId w:val="24"/>
        </w:numPr>
        <w:ind w:left="1418" w:hanging="709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Hinweise für Übungsaufgaben und individuelles Lernen (z.</w:t>
      </w:r>
      <w:r w:rsidR="0042479B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B. im eingeführten Schul</w:t>
      </w:r>
      <w:r w:rsidR="0042479B">
        <w:rPr>
          <w:rFonts w:asciiTheme="minorHAnsi" w:hAnsiTheme="minorHAnsi" w:cs="Arial"/>
        </w:rPr>
        <w:t xml:space="preserve">buch) durch die </w:t>
      </w:r>
      <w:r>
        <w:rPr>
          <w:rFonts w:asciiTheme="minorHAnsi" w:hAnsiTheme="minorHAnsi" w:cs="Arial"/>
        </w:rPr>
        <w:t>Lehrperson.</w:t>
      </w:r>
    </w:p>
    <w:p w:rsidR="00120880" w:rsidRDefault="00120880" w:rsidP="00120880">
      <w:pPr>
        <w:pStyle w:val="Listenabsatz"/>
        <w:numPr>
          <w:ilvl w:val="1"/>
          <w:numId w:val="24"/>
        </w:numPr>
        <w:ind w:left="1418" w:hanging="709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Übungs- und Knobelaufgaben für „Highspeed“</w:t>
      </w:r>
      <w:r w:rsidR="00B979A8">
        <w:rPr>
          <w:rFonts w:asciiTheme="minorHAnsi" w:hAnsiTheme="minorHAnsi" w:cs="Arial"/>
        </w:rPr>
        <w:t>: Nüsse</w:t>
      </w:r>
    </w:p>
    <w:p w:rsidR="00120880" w:rsidRPr="00E63591" w:rsidRDefault="00120880" w:rsidP="00120880">
      <w:pPr>
        <w:pStyle w:val="Listenabsatz"/>
        <w:numPr>
          <w:ilvl w:val="1"/>
          <w:numId w:val="24"/>
        </w:numPr>
        <w:ind w:left="709" w:firstLine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Paket Strukturlegen</w:t>
      </w:r>
    </w:p>
    <w:p w:rsidR="00120880" w:rsidRPr="00B76D50" w:rsidRDefault="00120880" w:rsidP="00120880">
      <w:pPr>
        <w:ind w:left="709"/>
        <w:rPr>
          <w:rFonts w:asciiTheme="minorHAnsi" w:hAnsiTheme="minorHAnsi" w:cs="Arial"/>
        </w:rPr>
      </w:pPr>
    </w:p>
    <w:p w:rsidR="00120880" w:rsidRDefault="00120880" w:rsidP="00120880">
      <w:pPr>
        <w:pStyle w:val="Listenabsatz"/>
        <w:ind w:left="709"/>
        <w:rPr>
          <w:rFonts w:asciiTheme="minorHAnsi" w:hAnsiTheme="minorHAnsi" w:cs="Arial"/>
        </w:rPr>
      </w:pPr>
    </w:p>
    <w:p w:rsidR="00120880" w:rsidRPr="0002121A" w:rsidRDefault="00120880" w:rsidP="00120880">
      <w:pPr>
        <w:rPr>
          <w:rFonts w:asciiTheme="minorHAnsi" w:hAnsiTheme="minorHAnsi" w:cs="Arial"/>
        </w:rPr>
      </w:pPr>
    </w:p>
    <w:p w:rsidR="00120880" w:rsidRDefault="00120880" w:rsidP="00120880">
      <w:pPr>
        <w:pStyle w:val="Listenabsatz"/>
        <w:ind w:left="1440"/>
        <w:rPr>
          <w:rFonts w:asciiTheme="minorHAnsi" w:hAnsiTheme="minorHAnsi" w:cs="Arial"/>
        </w:rPr>
      </w:pPr>
    </w:p>
    <w:p w:rsidR="00120880" w:rsidRPr="0023615A" w:rsidRDefault="00120880" w:rsidP="0023615A">
      <w:pPr>
        <w:rPr>
          <w:rFonts w:asciiTheme="minorHAnsi" w:hAnsiTheme="minorHAnsi" w:cs="Arial"/>
        </w:rPr>
      </w:pPr>
    </w:p>
    <w:sectPr w:rsidR="00120880" w:rsidRPr="0023615A" w:rsidSect="0012088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C0" w:rsidRDefault="00791FC0" w:rsidP="001E03DE">
      <w:r>
        <w:separator/>
      </w:r>
    </w:p>
  </w:endnote>
  <w:endnote w:type="continuationSeparator" w:id="0">
    <w:p w:rsidR="00791FC0" w:rsidRDefault="00791FC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80" w:rsidRDefault="00120880" w:rsidP="00120880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120880" w:rsidTr="00DE2228">
      <w:tc>
        <w:tcPr>
          <w:tcW w:w="817" w:type="dxa"/>
        </w:tcPr>
        <w:p w:rsidR="00120880" w:rsidRDefault="00120880" w:rsidP="00DE2228">
          <w:pPr>
            <w:pStyle w:val="Fuzeile"/>
          </w:pPr>
        </w:p>
      </w:tc>
      <w:tc>
        <w:tcPr>
          <w:tcW w:w="8431" w:type="dxa"/>
        </w:tcPr>
        <w:p w:rsidR="00120880" w:rsidRDefault="00120880" w:rsidP="00DE2228">
          <w:pPr>
            <w:pStyle w:val="Fuzeile"/>
          </w:pPr>
        </w:p>
      </w:tc>
      <w:tc>
        <w:tcPr>
          <w:tcW w:w="669" w:type="dxa"/>
        </w:tcPr>
        <w:p w:rsidR="00120880" w:rsidRDefault="00120880" w:rsidP="00DE2228">
          <w:pPr>
            <w:pStyle w:val="Fuzeile"/>
          </w:pPr>
        </w:p>
      </w:tc>
    </w:tr>
    <w:tr w:rsidR="00120880" w:rsidTr="00DE2228">
      <w:tc>
        <w:tcPr>
          <w:tcW w:w="817" w:type="dxa"/>
        </w:tcPr>
        <w:p w:rsidR="00120880" w:rsidRDefault="00120880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120880" w:rsidRDefault="00120880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120880" w:rsidRDefault="00120880" w:rsidP="00DE2228">
          <w:pPr>
            <w:pStyle w:val="Fuzeile"/>
          </w:pPr>
        </w:p>
      </w:tc>
    </w:tr>
    <w:tr w:rsidR="00120880" w:rsidTr="00DE2228">
      <w:tc>
        <w:tcPr>
          <w:tcW w:w="817" w:type="dxa"/>
        </w:tcPr>
        <w:p w:rsidR="00120880" w:rsidRPr="008A6B36" w:rsidRDefault="00120880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120880" w:rsidRDefault="00120880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120880" w:rsidRDefault="00120880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C3A45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120880" w:rsidRPr="00C1176F" w:rsidRDefault="00120880" w:rsidP="00120880">
    <w:pPr>
      <w:pStyle w:val="Fuzeile"/>
    </w:pPr>
  </w:p>
  <w:p w:rsidR="00120880" w:rsidRDefault="0012088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20880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C0" w:rsidRDefault="00791FC0" w:rsidP="001E03DE">
      <w:r>
        <w:separator/>
      </w:r>
    </w:p>
  </w:footnote>
  <w:footnote w:type="continuationSeparator" w:id="0">
    <w:p w:rsidR="00791FC0" w:rsidRDefault="00791FC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80" w:rsidRPr="00F131AC" w:rsidRDefault="00120880" w:rsidP="00120880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831F346" wp14:editId="7F4E69E4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46" name="Gruppieren 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880" w:rsidRPr="00E20335" w:rsidRDefault="00120880" w:rsidP="00120880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0" name="Grafik 5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1" name="Gerade Verbindung 51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46" o:spid="_x0000_s1029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MFM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tMFMMAAADbAAAADwAAAAAAAAAAAAAAAACYAgAAZHJzL2Rv&#10;d25yZXYueG1sUEsFBgAAAAAEAAQA9QAAAIgDAAAAAA==&#10;" stroked="f">
                <v:textbox>
                  <w:txbxContent>
                    <w:p w:rsidR="00120880" w:rsidRPr="00E20335" w:rsidRDefault="00120880" w:rsidP="00120880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0" o:spid="_x0000_s1031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tt0XAAAAA2wAAAA8AAABkcnMvZG93bnJldi54bWxET02LwjAQvQv7H8IseNNkFxTpGsVdFARR&#10;sXrZ29CMTbGZlCZq/ffmIHh8vO/pvHO1uFEbKs8avoYKBHHhTcWlhtNxNZiACBHZYO2ZNDwowHz2&#10;0ZtiZvydD3TLYylSCIcMNdgYm0zKUFhyGIa+IU7c2bcOY4JtKU2L9xTuavmt1Fg6rDg1WGzoz1Jx&#10;ya9OQ5Vvd5PHclXY34Pa58uocPN/0br/2S1+QETq4lv8cq+NhlFan76kHyBn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+23RcAAAADbAAAADwAAAAAAAAAAAAAAAACfAgAA&#10;ZHJzL2Rvd25yZXYueG1sUEsFBgAAAAAEAAQA9wAAAIwDAAAAAA==&#10;">
                <v:imagedata r:id="rId2" o:title=""/>
                <v:path arrowok="t"/>
              </v:shape>
              <v:line id="Gerade Verbindung 51" o:spid="_x0000_s1032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1GiMMAAADbAAAADwAAAGRycy9kb3ducmV2LnhtbESPQWvCQBCF70L/wzIFb7pJoUVS12BD&#10;K54EbVqvQ3ZMgtnZsLuN8d+7BcHj48373rxlPppODOR8a1lBOk9AEFdWt1wrKL+/ZgsQPiBr7CyT&#10;git5yFdPkyVm2l54T8Mh1CJC2GeooAmhz6T0VUMG/dz2xNE7WWcwROlqqR1eItx08iVJ3qTBlmND&#10;gz0VDVXnw5+Jb+w+NmUxsMHr3h3LRZX+fm5+lJo+j+t3EIHG8Di+p7dawWsK/1siAO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tRoj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  <w:p w:rsidR="00120880" w:rsidRDefault="0012088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E414922" wp14:editId="299FA08D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3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5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6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68B3553"/>
    <w:multiLevelType w:val="hybridMultilevel"/>
    <w:tmpl w:val="8D04530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334B60"/>
    <w:multiLevelType w:val="hybridMultilevel"/>
    <w:tmpl w:val="A6302DA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C024B5"/>
    <w:multiLevelType w:val="hybridMultilevel"/>
    <w:tmpl w:val="1EAC04C8"/>
    <w:lvl w:ilvl="0" w:tplc="B8D2C76C">
      <w:start w:val="1"/>
      <w:numFmt w:val="lowerLetter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62A3A85"/>
    <w:multiLevelType w:val="hybridMultilevel"/>
    <w:tmpl w:val="3C7E28F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9520D1C"/>
    <w:multiLevelType w:val="hybridMultilevel"/>
    <w:tmpl w:val="8D04530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EBA0169"/>
    <w:multiLevelType w:val="hybridMultilevel"/>
    <w:tmpl w:val="7DAEFB5E"/>
    <w:lvl w:ilvl="0" w:tplc="B5F646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CC15E4"/>
    <w:multiLevelType w:val="hybridMultilevel"/>
    <w:tmpl w:val="067649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4">
    <w:nsid w:val="5B0048F5"/>
    <w:multiLevelType w:val="hybridMultilevel"/>
    <w:tmpl w:val="4CD2AD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45846"/>
    <w:multiLevelType w:val="hybridMultilevel"/>
    <w:tmpl w:val="067649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0"/>
  </w:num>
  <w:num w:numId="8">
    <w:abstractNumId w:val="5"/>
  </w:num>
  <w:num w:numId="9">
    <w:abstractNumId w:val="5"/>
  </w:num>
  <w:num w:numId="10">
    <w:abstractNumId w:val="0"/>
  </w:num>
  <w:num w:numId="11">
    <w:abstractNumId w:val="15"/>
  </w:num>
  <w:num w:numId="12">
    <w:abstractNumId w:val="13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7"/>
  </w:num>
  <w:num w:numId="18">
    <w:abstractNumId w:val="17"/>
  </w:num>
  <w:num w:numId="19">
    <w:abstractNumId w:val="17"/>
  </w:num>
  <w:num w:numId="20">
    <w:abstractNumId w:val="10"/>
  </w:num>
  <w:num w:numId="21">
    <w:abstractNumId w:val="1"/>
  </w:num>
  <w:num w:numId="22">
    <w:abstractNumId w:val="18"/>
  </w:num>
  <w:num w:numId="23">
    <w:abstractNumId w:val="6"/>
  </w:num>
  <w:num w:numId="24">
    <w:abstractNumId w:val="14"/>
  </w:num>
  <w:num w:numId="25">
    <w:abstractNumId w:val="9"/>
  </w:num>
  <w:num w:numId="26">
    <w:abstractNumId w:val="12"/>
  </w:num>
  <w:num w:numId="27">
    <w:abstractNumId w:val="2"/>
  </w:num>
  <w:num w:numId="28">
    <w:abstractNumId w:val="16"/>
  </w:num>
  <w:num w:numId="29">
    <w:abstractNumId w:val="7"/>
  </w:num>
  <w:num w:numId="30">
    <w:abstractNumId w:val="3"/>
  </w:num>
  <w:num w:numId="31">
    <w:abstractNumId w:val="11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0049AE"/>
    <w:rsid w:val="00120880"/>
    <w:rsid w:val="001A2103"/>
    <w:rsid w:val="001C3A45"/>
    <w:rsid w:val="001E03DE"/>
    <w:rsid w:val="001E0F2D"/>
    <w:rsid w:val="002223B8"/>
    <w:rsid w:val="0023615A"/>
    <w:rsid w:val="00296589"/>
    <w:rsid w:val="0042479B"/>
    <w:rsid w:val="00445B6B"/>
    <w:rsid w:val="0044650F"/>
    <w:rsid w:val="00654CD3"/>
    <w:rsid w:val="006F53B6"/>
    <w:rsid w:val="00791FC0"/>
    <w:rsid w:val="0084405B"/>
    <w:rsid w:val="008A6B36"/>
    <w:rsid w:val="008A7911"/>
    <w:rsid w:val="009533B3"/>
    <w:rsid w:val="009935DA"/>
    <w:rsid w:val="009C05F9"/>
    <w:rsid w:val="00B127D0"/>
    <w:rsid w:val="00B979A8"/>
    <w:rsid w:val="00C1176F"/>
    <w:rsid w:val="00C22DA6"/>
    <w:rsid w:val="00C329C9"/>
    <w:rsid w:val="00CA4381"/>
    <w:rsid w:val="00CD6932"/>
    <w:rsid w:val="00DA114A"/>
    <w:rsid w:val="00DC7E46"/>
    <w:rsid w:val="00E15C59"/>
    <w:rsid w:val="00E82045"/>
    <w:rsid w:val="00ED7467"/>
    <w:rsid w:val="00F12144"/>
    <w:rsid w:val="00F130E5"/>
    <w:rsid w:val="00F131AC"/>
    <w:rsid w:val="00F24B24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53B6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F53B6"/>
    <w:pPr>
      <w:ind w:left="720"/>
      <w:contextualSpacing/>
    </w:pPr>
  </w:style>
  <w:style w:type="paragraph" w:styleId="KeinLeerraum">
    <w:name w:val="No Spacing"/>
    <w:uiPriority w:val="1"/>
    <w:qFormat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table" w:customStyle="1" w:styleId="Tabellenraster1">
    <w:name w:val="Tabellenraster1"/>
    <w:basedOn w:val="NormaleTabelle"/>
    <w:next w:val="Tabellenraster"/>
    <w:uiPriority w:val="59"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53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53B6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53B6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F53B6"/>
    <w:pPr>
      <w:ind w:left="720"/>
      <w:contextualSpacing/>
    </w:pPr>
  </w:style>
  <w:style w:type="paragraph" w:styleId="KeinLeerraum">
    <w:name w:val="No Spacing"/>
    <w:uiPriority w:val="1"/>
    <w:qFormat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table" w:customStyle="1" w:styleId="Tabellenraster1">
    <w:name w:val="Tabellenraster1"/>
    <w:basedOn w:val="NormaleTabelle"/>
    <w:next w:val="Tabellenraster"/>
    <w:uiPriority w:val="59"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53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53B6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A819A-CCCB-41DF-9381-81531E448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1</Pages>
  <Words>200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3</cp:revision>
  <cp:lastPrinted>2017-10-30T12:23:00Z</cp:lastPrinted>
  <dcterms:created xsi:type="dcterms:W3CDTF">2018-01-15T15:13:00Z</dcterms:created>
  <dcterms:modified xsi:type="dcterms:W3CDTF">2018-02-05T13:12:00Z</dcterms:modified>
</cp:coreProperties>
</file>