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1595" w:rsidRPr="00E9760A" w:rsidRDefault="0054100D" w:rsidP="0031606E">
      <w:pPr>
        <w:spacing w:line="360" w:lineRule="auto"/>
        <w:jc w:val="both"/>
        <w:rPr>
          <w:rFonts w:ascii="Arial" w:hAnsi="Arial" w:cs="Arial"/>
          <w:b/>
          <w:sz w:val="22"/>
          <w:szCs w:val="22"/>
        </w:rPr>
      </w:pPr>
      <w:r w:rsidRPr="004F7468">
        <w:rPr>
          <w:rFonts w:ascii="Arial" w:hAnsi="Arial" w:cs="Arial"/>
          <w:b/>
          <w:sz w:val="22"/>
          <w:szCs w:val="22"/>
        </w:rPr>
        <w:t>Entnazifizierung am Beispiel der amerikanischen Besatzungszone</w:t>
      </w:r>
    </w:p>
    <w:p w:rsidR="00E9760A" w:rsidRDefault="00E9760A" w:rsidP="0031606E">
      <w:pPr>
        <w:spacing w:line="360" w:lineRule="auto"/>
        <w:jc w:val="both"/>
        <w:rPr>
          <w:rFonts w:ascii="Arial" w:hAnsi="Arial" w:cs="Arial"/>
          <w:i/>
          <w:sz w:val="22"/>
          <w:szCs w:val="22"/>
        </w:rPr>
      </w:pPr>
    </w:p>
    <w:p w:rsidR="0031606E" w:rsidRDefault="003C1C84" w:rsidP="0031606E">
      <w:pPr>
        <w:spacing w:line="360" w:lineRule="auto"/>
        <w:jc w:val="both"/>
        <w:rPr>
          <w:rFonts w:ascii="Arial" w:hAnsi="Arial" w:cs="Arial"/>
          <w:sz w:val="22"/>
          <w:szCs w:val="22"/>
        </w:rPr>
      </w:pPr>
      <w:r w:rsidRPr="0031606E">
        <w:rPr>
          <w:rFonts w:ascii="Arial" w:hAnsi="Arial" w:cs="Arial"/>
          <w:sz w:val="22"/>
          <w:szCs w:val="22"/>
        </w:rPr>
        <w:t xml:space="preserve">Schon während des Krieges fiel unter den Alliierten der Beschluss, die in ihren Augen für den Krieg und die Verfolgung von religiösen und ethnischen Minderheiten </w:t>
      </w:r>
      <w:r w:rsidR="00A31FBA" w:rsidRPr="0031606E">
        <w:rPr>
          <w:rFonts w:ascii="Arial" w:hAnsi="Arial" w:cs="Arial"/>
          <w:sz w:val="22"/>
          <w:szCs w:val="22"/>
        </w:rPr>
        <w:t xml:space="preserve">Nationalsozialisten zur Rechenschaft zu ziehen. Besonders die Amerikaner strebten eine umfassende Auseinandersetzung mit der Vergangenheit an und setzten schon ab Juli 1945 erste Beschlüsse zur Entnazifizierung um. Dazu gehörte die Umbenennung von Straßen, öffentlichen Plätzen und Orten, die vorher die Namen von nationalsozialistischen </w:t>
      </w:r>
      <w:r w:rsidR="0031606E">
        <w:rPr>
          <w:rFonts w:ascii="Arial" w:hAnsi="Arial" w:cs="Arial"/>
          <w:sz w:val="22"/>
          <w:szCs w:val="22"/>
        </w:rPr>
        <w:t xml:space="preserve">Führungspersönlichkeiten getragen hatten. </w:t>
      </w:r>
    </w:p>
    <w:p w:rsidR="0005475F" w:rsidRPr="00B44673" w:rsidRDefault="0005475F" w:rsidP="0031606E">
      <w:pPr>
        <w:spacing w:line="360" w:lineRule="auto"/>
        <w:jc w:val="both"/>
        <w:rPr>
          <w:rFonts w:ascii="Arial" w:hAnsi="Arial" w:cs="Arial"/>
          <w:sz w:val="22"/>
          <w:szCs w:val="22"/>
        </w:rPr>
      </w:pPr>
      <w:r>
        <w:rPr>
          <w:rFonts w:ascii="Arial" w:hAnsi="Arial" w:cs="Arial"/>
          <w:sz w:val="22"/>
          <w:szCs w:val="22"/>
        </w:rPr>
        <w:t xml:space="preserve">Am 20. November 1945 hatte in Nürnberg vor dem internationalen Gerichtshof ein Prozess gegen 24 hauptverantwortliche Funktionäre begonnen. Die Anklagepunkte, wie die Planung eines Angriffskrieges </w:t>
      </w:r>
      <w:r w:rsidR="00815A2C">
        <w:rPr>
          <w:rFonts w:ascii="Arial" w:hAnsi="Arial" w:cs="Arial"/>
          <w:sz w:val="22"/>
          <w:szCs w:val="22"/>
        </w:rPr>
        <w:t>oder der gezielte Genozid eines Volk</w:t>
      </w:r>
      <w:r w:rsidR="008D5ED5">
        <w:rPr>
          <w:rFonts w:ascii="Arial" w:hAnsi="Arial" w:cs="Arial"/>
          <w:sz w:val="22"/>
          <w:szCs w:val="22"/>
        </w:rPr>
        <w:t>es</w:t>
      </w:r>
      <w:r w:rsidR="00815A2C">
        <w:rPr>
          <w:rFonts w:ascii="Arial" w:hAnsi="Arial" w:cs="Arial"/>
          <w:sz w:val="22"/>
          <w:szCs w:val="22"/>
        </w:rPr>
        <w:t xml:space="preserve"> </w:t>
      </w:r>
      <w:r>
        <w:rPr>
          <w:rFonts w:ascii="Arial" w:hAnsi="Arial" w:cs="Arial"/>
          <w:sz w:val="22"/>
          <w:szCs w:val="22"/>
        </w:rPr>
        <w:t xml:space="preserve">galten als umstritten, </w:t>
      </w:r>
      <w:r w:rsidR="00815A2C">
        <w:rPr>
          <w:rFonts w:ascii="Arial" w:hAnsi="Arial" w:cs="Arial"/>
          <w:sz w:val="22"/>
          <w:szCs w:val="22"/>
        </w:rPr>
        <w:t>denn bisher sah das Völkerrecht dafür keine gesetzliche Grundlage vor.</w:t>
      </w:r>
      <w:r w:rsidR="008D5ED5">
        <w:rPr>
          <w:rFonts w:ascii="Arial" w:hAnsi="Arial" w:cs="Arial"/>
          <w:sz w:val="22"/>
          <w:szCs w:val="22"/>
        </w:rPr>
        <w:t xml:space="preserve"> Da die Richter und </w:t>
      </w:r>
      <w:r w:rsidR="009A6165">
        <w:rPr>
          <w:rFonts w:ascii="Arial" w:hAnsi="Arial" w:cs="Arial"/>
          <w:sz w:val="22"/>
          <w:szCs w:val="22"/>
        </w:rPr>
        <w:t>Ankläger nur</w:t>
      </w:r>
      <w:r w:rsidR="008D5ED5">
        <w:rPr>
          <w:rFonts w:ascii="Arial" w:hAnsi="Arial" w:cs="Arial"/>
          <w:sz w:val="22"/>
          <w:szCs w:val="22"/>
        </w:rPr>
        <w:t xml:space="preserve"> aus Alliierten </w:t>
      </w:r>
      <w:proofErr w:type="gramStart"/>
      <w:r w:rsidR="008D5ED5">
        <w:rPr>
          <w:rFonts w:ascii="Arial" w:hAnsi="Arial" w:cs="Arial"/>
          <w:sz w:val="22"/>
          <w:szCs w:val="22"/>
        </w:rPr>
        <w:t>bestand</w:t>
      </w:r>
      <w:proofErr w:type="gramEnd"/>
      <w:r w:rsidR="008D5ED5">
        <w:rPr>
          <w:rFonts w:ascii="Arial" w:hAnsi="Arial" w:cs="Arial"/>
          <w:sz w:val="22"/>
          <w:szCs w:val="22"/>
        </w:rPr>
        <w:t>, leitete die deutsche Bevölkerung daraus „Siegerjustiz“ ab. Von den Angeklagten, die sich alle für „nicht schuldig“ erklärten, wurden drei freigesprochen, sieben zu langjährigen Freiheitsstrafen und zwölf zum Tode verurteilt.</w:t>
      </w:r>
    </w:p>
    <w:p w:rsidR="00E9760A" w:rsidRPr="00E9760A" w:rsidRDefault="0031606E" w:rsidP="0031606E">
      <w:pPr>
        <w:spacing w:line="360" w:lineRule="auto"/>
        <w:jc w:val="both"/>
        <w:rPr>
          <w:rFonts w:ascii="Arial" w:hAnsi="Arial" w:cs="Arial"/>
          <w:sz w:val="22"/>
          <w:szCs w:val="22"/>
        </w:rPr>
      </w:pPr>
      <w:r>
        <w:rPr>
          <w:rFonts w:ascii="Arial" w:hAnsi="Arial" w:cs="Arial"/>
          <w:sz w:val="22"/>
          <w:szCs w:val="22"/>
        </w:rPr>
        <w:t xml:space="preserve">Ab Juli 1945 setzten die Amerikaner ihr Ziel der </w:t>
      </w:r>
      <w:r w:rsidR="000654AA">
        <w:rPr>
          <w:rFonts w:ascii="Arial" w:hAnsi="Arial" w:cs="Arial"/>
          <w:sz w:val="22"/>
          <w:szCs w:val="22"/>
        </w:rPr>
        <w:t xml:space="preserve">Umerziehung </w:t>
      </w:r>
      <w:r>
        <w:rPr>
          <w:rFonts w:ascii="Arial" w:hAnsi="Arial" w:cs="Arial"/>
          <w:sz w:val="22"/>
          <w:szCs w:val="22"/>
        </w:rPr>
        <w:t xml:space="preserve">um. </w:t>
      </w:r>
      <w:r w:rsidR="009A6165">
        <w:rPr>
          <w:rFonts w:ascii="Arial" w:hAnsi="Arial" w:cs="Arial"/>
          <w:sz w:val="22"/>
          <w:szCs w:val="22"/>
        </w:rPr>
        <w:t>Seit</w:t>
      </w:r>
      <w:r>
        <w:rPr>
          <w:rFonts w:ascii="Arial" w:hAnsi="Arial" w:cs="Arial"/>
          <w:sz w:val="22"/>
          <w:szCs w:val="22"/>
        </w:rPr>
        <w:t xml:space="preserve"> dem Vormarsch der Alliierten wurde jeder Bewohner eines Ortes überprüft, ob er politischer Leiter ab dem Rang eines </w:t>
      </w:r>
      <w:r w:rsidR="009A6165" w:rsidRPr="00166F18">
        <w:rPr>
          <w:rFonts w:ascii="Arial" w:hAnsi="Arial" w:cs="Arial"/>
          <w:sz w:val="22"/>
          <w:szCs w:val="22"/>
        </w:rPr>
        <w:t>Ortsgruppenleiters</w:t>
      </w:r>
      <w:r w:rsidRPr="00166F18">
        <w:rPr>
          <w:rFonts w:ascii="Arial" w:hAnsi="Arial" w:cs="Arial"/>
          <w:sz w:val="22"/>
          <w:szCs w:val="22"/>
        </w:rPr>
        <w:t xml:space="preserve"> </w:t>
      </w:r>
      <w:r w:rsidR="00166F18" w:rsidRPr="00166F18">
        <w:rPr>
          <w:rFonts w:ascii="Arial" w:hAnsi="Arial" w:cs="Arial"/>
          <w:sz w:val="22"/>
          <w:szCs w:val="22"/>
        </w:rPr>
        <w:t xml:space="preserve">– eines Vertreters der NSDAP auf Ortsebene – </w:t>
      </w:r>
      <w:r w:rsidRPr="00166F18">
        <w:rPr>
          <w:rFonts w:ascii="Arial" w:hAnsi="Arial" w:cs="Arial"/>
          <w:sz w:val="22"/>
          <w:szCs w:val="22"/>
        </w:rPr>
        <w:t>oder Angehöriger der SS ab dem Rang eines Unterscharführers</w:t>
      </w:r>
      <w:r>
        <w:rPr>
          <w:rFonts w:ascii="Arial" w:hAnsi="Arial" w:cs="Arial"/>
          <w:sz w:val="22"/>
          <w:szCs w:val="22"/>
        </w:rPr>
        <w:t xml:space="preserve"> </w:t>
      </w:r>
      <w:r w:rsidR="00166F18">
        <w:rPr>
          <w:rFonts w:ascii="Arial" w:hAnsi="Arial" w:cs="Arial"/>
          <w:sz w:val="22"/>
          <w:szCs w:val="22"/>
        </w:rPr>
        <w:t xml:space="preserve">– einem niederen Rang eines Unteroffiziers – </w:t>
      </w:r>
      <w:r>
        <w:rPr>
          <w:rFonts w:ascii="Arial" w:hAnsi="Arial" w:cs="Arial"/>
          <w:sz w:val="22"/>
          <w:szCs w:val="22"/>
        </w:rPr>
        <w:t xml:space="preserve">war. Insgesamt wurden in den ersten Monaten in der von den Amerikanern besetzten Zone 95 250 Menschen verhaftet. Mit steigender Zahl der Häftlinge benötigte man dringend Unterbringungsmöglichkeiten. Dafür boten sich Kriegsgefangenenlager und ehemalige Konzentrationslager an. Die Amerikaner hatten nicht mit einer so großen Menge an Schuldigen gerechnet, wollten aber zunächst niemanden freilassen. </w:t>
      </w:r>
      <w:r w:rsidR="00FD70F3">
        <w:rPr>
          <w:rFonts w:ascii="Arial" w:hAnsi="Arial" w:cs="Arial"/>
          <w:sz w:val="22"/>
          <w:szCs w:val="22"/>
        </w:rPr>
        <w:t xml:space="preserve">Die Situation in den Häftlingslagern war katastrophal: es herrschten Kälte und Hunger und grundsätzlich </w:t>
      </w:r>
      <w:r w:rsidR="009A6165">
        <w:rPr>
          <w:rFonts w:ascii="Arial" w:hAnsi="Arial" w:cs="Arial"/>
          <w:sz w:val="22"/>
          <w:szCs w:val="22"/>
        </w:rPr>
        <w:t>gab es</w:t>
      </w:r>
      <w:r w:rsidR="00FD70F3">
        <w:rPr>
          <w:rFonts w:ascii="Arial" w:hAnsi="Arial" w:cs="Arial"/>
          <w:sz w:val="22"/>
          <w:szCs w:val="22"/>
        </w:rPr>
        <w:t xml:space="preserve"> nicht genug Platz für die vielen Menschen.</w:t>
      </w:r>
      <w:r w:rsidR="0039639E">
        <w:rPr>
          <w:rFonts w:ascii="Arial" w:hAnsi="Arial" w:cs="Arial"/>
          <w:sz w:val="22"/>
          <w:szCs w:val="22"/>
        </w:rPr>
        <w:t xml:space="preserve"> Dies und die Tatsache, dass die Häftlinge bessere Nahrungsmittelrationen erhielten als die meisten Deutschen führte zu Unmut in der Bevölkerung</w:t>
      </w:r>
      <w:r w:rsidR="003351F5">
        <w:rPr>
          <w:rFonts w:ascii="Arial" w:hAnsi="Arial" w:cs="Arial"/>
          <w:sz w:val="22"/>
          <w:szCs w:val="22"/>
        </w:rPr>
        <w:t>. E</w:t>
      </w:r>
      <w:r w:rsidR="0039639E">
        <w:rPr>
          <w:rFonts w:ascii="Arial" w:hAnsi="Arial" w:cs="Arial"/>
          <w:sz w:val="22"/>
          <w:szCs w:val="22"/>
        </w:rPr>
        <w:t>s ging der Satz um: „Seitdem uns die demokratische Sonne bescheint, werden wir immer brauner“</w:t>
      </w:r>
      <w:r w:rsidR="0039639E">
        <w:rPr>
          <w:rStyle w:val="Funotenzeichen"/>
          <w:rFonts w:ascii="Arial" w:hAnsi="Arial" w:cs="Arial"/>
          <w:sz w:val="22"/>
          <w:szCs w:val="22"/>
        </w:rPr>
        <w:footnoteReference w:id="1"/>
      </w:r>
      <w:r w:rsidR="0039639E">
        <w:rPr>
          <w:rFonts w:ascii="Arial" w:hAnsi="Arial" w:cs="Arial"/>
          <w:sz w:val="22"/>
          <w:szCs w:val="22"/>
        </w:rPr>
        <w:t>.</w:t>
      </w:r>
    </w:p>
    <w:p w:rsidR="00E9760A" w:rsidRDefault="00E9760A" w:rsidP="0031606E">
      <w:pPr>
        <w:spacing w:line="360" w:lineRule="auto"/>
        <w:jc w:val="both"/>
        <w:rPr>
          <w:rFonts w:ascii="Arial" w:hAnsi="Arial" w:cs="Arial"/>
          <w:i/>
          <w:sz w:val="22"/>
          <w:szCs w:val="22"/>
        </w:rPr>
      </w:pPr>
    </w:p>
    <w:p w:rsidR="003351F5" w:rsidRPr="00E9760A" w:rsidRDefault="00112356" w:rsidP="0031606E">
      <w:pPr>
        <w:spacing w:line="360" w:lineRule="auto"/>
        <w:jc w:val="both"/>
        <w:rPr>
          <w:rFonts w:ascii="Arial" w:hAnsi="Arial" w:cs="Arial"/>
          <w:i/>
          <w:sz w:val="22"/>
          <w:szCs w:val="22"/>
        </w:rPr>
      </w:pPr>
      <w:r w:rsidRPr="00E9760A">
        <w:rPr>
          <w:rFonts w:ascii="Arial" w:hAnsi="Arial" w:cs="Arial"/>
          <w:i/>
          <w:sz w:val="22"/>
          <w:szCs w:val="22"/>
        </w:rPr>
        <w:t xml:space="preserve">Die Entnazifizierung mit </w:t>
      </w:r>
      <w:r w:rsidR="003351F5" w:rsidRPr="00E9760A">
        <w:rPr>
          <w:rFonts w:ascii="Arial" w:hAnsi="Arial" w:cs="Arial"/>
          <w:i/>
          <w:sz w:val="22"/>
          <w:szCs w:val="22"/>
        </w:rPr>
        <w:t xml:space="preserve">deutscher </w:t>
      </w:r>
      <w:r w:rsidRPr="00E9760A">
        <w:rPr>
          <w:rFonts w:ascii="Arial" w:hAnsi="Arial" w:cs="Arial"/>
          <w:i/>
          <w:sz w:val="22"/>
          <w:szCs w:val="22"/>
        </w:rPr>
        <w:t>Hilfe</w:t>
      </w:r>
    </w:p>
    <w:p w:rsidR="00A900AB" w:rsidRPr="0031606E" w:rsidRDefault="00E1230D" w:rsidP="00A900AB">
      <w:pPr>
        <w:spacing w:line="360" w:lineRule="auto"/>
        <w:jc w:val="both"/>
        <w:rPr>
          <w:rFonts w:ascii="Arial" w:hAnsi="Arial" w:cs="Arial"/>
          <w:sz w:val="22"/>
          <w:szCs w:val="22"/>
        </w:rPr>
      </w:pPr>
      <w:r w:rsidRPr="00303123">
        <w:rPr>
          <w:rFonts w:ascii="Times New Roman" w:eastAsia="Times New Roman" w:hAnsi="Times New Roman" w:cs="Times New Roman"/>
          <w:noProof/>
          <w:lang w:eastAsia="de-DE"/>
        </w:rPr>
        <w:drawing>
          <wp:anchor distT="0" distB="0" distL="114300" distR="114300" simplePos="0" relativeHeight="251659264" behindDoc="0" locked="0" layoutInCell="1" allowOverlap="1" wp14:anchorId="786AA33F" wp14:editId="2E059CED">
            <wp:simplePos x="0" y="0"/>
            <wp:positionH relativeFrom="column">
              <wp:posOffset>4205605</wp:posOffset>
            </wp:positionH>
            <wp:positionV relativeFrom="paragraph">
              <wp:posOffset>-1050290</wp:posOffset>
            </wp:positionV>
            <wp:extent cx="1278255" cy="1590040"/>
            <wp:effectExtent l="0" t="0" r="4445" b="0"/>
            <wp:wrapSquare wrapText="bothSides"/>
            <wp:docPr id="1" name="Grafik 1" descr="/var/folders/v7/0yy1sq155b9b5x7_9trtv_z00000gn/T/com.microsoft.Word/WebArchiveCopyPasteTempFiles/241px-Lucius-d-clay-80-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v7/0yy1sq155b9b5x7_9trtv_z00000gn/T/com.microsoft.Word/WebArchiveCopyPasteTempFiles/241px-Lucius-d-clay-80-87.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8255" cy="1590040"/>
                    </a:xfrm>
                    <a:prstGeom prst="rect">
                      <a:avLst/>
                    </a:prstGeom>
                    <a:noFill/>
                    <a:ln>
                      <a:noFill/>
                    </a:ln>
                  </pic:spPr>
                </pic:pic>
              </a:graphicData>
            </a:graphic>
            <wp14:sizeRelH relativeFrom="page">
              <wp14:pctWidth>0</wp14:pctWidth>
            </wp14:sizeRelH>
            <wp14:sizeRelV relativeFrom="page">
              <wp14:pctHeight>0</wp14:pctHeight>
            </wp14:sizeRelV>
          </wp:anchor>
        </w:drawing>
      </w:r>
      <w:r w:rsidR="003351F5">
        <w:rPr>
          <w:rFonts w:ascii="Arial" w:hAnsi="Arial" w:cs="Arial"/>
          <w:sz w:val="22"/>
          <w:szCs w:val="22"/>
        </w:rPr>
        <w:t xml:space="preserve">Ab Januar 1946 stellte der </w:t>
      </w:r>
      <w:r w:rsidR="009A6165">
        <w:rPr>
          <w:rFonts w:ascii="Arial" w:hAnsi="Arial" w:cs="Arial"/>
          <w:sz w:val="22"/>
          <w:szCs w:val="22"/>
        </w:rPr>
        <w:t>A</w:t>
      </w:r>
      <w:r w:rsidR="003351F5">
        <w:rPr>
          <w:rFonts w:ascii="Arial" w:hAnsi="Arial" w:cs="Arial"/>
          <w:sz w:val="22"/>
          <w:szCs w:val="22"/>
        </w:rPr>
        <w:t>lliierte Kontrollrat</w:t>
      </w:r>
      <w:r w:rsidR="00166F18">
        <w:rPr>
          <w:rStyle w:val="Funotenzeichen"/>
          <w:rFonts w:ascii="Arial" w:hAnsi="Arial" w:cs="Arial"/>
          <w:sz w:val="22"/>
          <w:szCs w:val="22"/>
        </w:rPr>
        <w:footnoteReference w:id="2"/>
      </w:r>
      <w:r w:rsidR="003351F5">
        <w:rPr>
          <w:rFonts w:ascii="Arial" w:hAnsi="Arial" w:cs="Arial"/>
          <w:sz w:val="22"/>
          <w:szCs w:val="22"/>
        </w:rPr>
        <w:t xml:space="preserve"> Richtlinien für die Entnazifizierung Deutschlands auf, die der Militärgouverneur </w:t>
      </w:r>
      <w:r w:rsidR="003351F5">
        <w:rPr>
          <w:rFonts w:ascii="Arial" w:hAnsi="Arial" w:cs="Arial"/>
          <w:sz w:val="22"/>
          <w:szCs w:val="22"/>
        </w:rPr>
        <w:lastRenderedPageBreak/>
        <w:t xml:space="preserve">General Lucius D. Clay </w:t>
      </w:r>
      <w:r>
        <w:rPr>
          <w:rFonts w:ascii="Arial" w:hAnsi="Arial" w:cs="Arial"/>
          <w:sz w:val="22"/>
          <w:szCs w:val="22"/>
        </w:rPr>
        <w:t xml:space="preserve">(1898-1978) </w:t>
      </w:r>
      <w:r w:rsidR="003351F5">
        <w:rPr>
          <w:rFonts w:ascii="Arial" w:hAnsi="Arial" w:cs="Arial"/>
          <w:sz w:val="22"/>
          <w:szCs w:val="22"/>
        </w:rPr>
        <w:t xml:space="preserve">mithilfe der Deutschen durchsetzen wollte. </w:t>
      </w:r>
      <w:r>
        <w:rPr>
          <w:rFonts w:ascii="Arial" w:hAnsi="Arial" w:cs="Arial"/>
          <w:sz w:val="22"/>
          <w:szCs w:val="22"/>
        </w:rPr>
        <w:t xml:space="preserve">Clay war bis 1949 Gouverneur der amerikanischen Besatzungszone in Deutschland. </w:t>
      </w:r>
      <w:r w:rsidR="005B02EC">
        <w:rPr>
          <w:rFonts w:ascii="Arial" w:hAnsi="Arial" w:cs="Arial"/>
          <w:sz w:val="22"/>
          <w:szCs w:val="22"/>
        </w:rPr>
        <w:t>D</w:t>
      </w:r>
      <w:r w:rsidR="003351F5">
        <w:rPr>
          <w:rFonts w:ascii="Arial" w:hAnsi="Arial" w:cs="Arial"/>
          <w:sz w:val="22"/>
          <w:szCs w:val="22"/>
        </w:rPr>
        <w:t xml:space="preserve">ie Nationalsozialisten </w:t>
      </w:r>
      <w:r w:rsidR="005B02EC">
        <w:rPr>
          <w:rFonts w:ascii="Arial" w:hAnsi="Arial" w:cs="Arial"/>
          <w:sz w:val="22"/>
          <w:szCs w:val="22"/>
        </w:rPr>
        <w:t xml:space="preserve">sollten </w:t>
      </w:r>
      <w:r w:rsidR="003351F5">
        <w:rPr>
          <w:rFonts w:ascii="Arial" w:hAnsi="Arial" w:cs="Arial"/>
          <w:sz w:val="22"/>
          <w:szCs w:val="22"/>
        </w:rPr>
        <w:t xml:space="preserve">nicht zu Märtyrern </w:t>
      </w:r>
      <w:r w:rsidR="005B02EC">
        <w:rPr>
          <w:rFonts w:ascii="Arial" w:hAnsi="Arial" w:cs="Arial"/>
          <w:sz w:val="22"/>
          <w:szCs w:val="22"/>
        </w:rPr>
        <w:t>ge</w:t>
      </w:r>
      <w:r w:rsidR="003351F5">
        <w:rPr>
          <w:rFonts w:ascii="Arial" w:hAnsi="Arial" w:cs="Arial"/>
          <w:sz w:val="22"/>
          <w:szCs w:val="22"/>
        </w:rPr>
        <w:t>mach</w:t>
      </w:r>
      <w:r w:rsidR="005B02EC">
        <w:rPr>
          <w:rFonts w:ascii="Arial" w:hAnsi="Arial" w:cs="Arial"/>
          <w:sz w:val="22"/>
          <w:szCs w:val="22"/>
        </w:rPr>
        <w:t>t werden</w:t>
      </w:r>
      <w:r w:rsidR="003351F5">
        <w:rPr>
          <w:rFonts w:ascii="Arial" w:hAnsi="Arial" w:cs="Arial"/>
          <w:sz w:val="22"/>
          <w:szCs w:val="22"/>
        </w:rPr>
        <w:t xml:space="preserve"> und deswegen </w:t>
      </w:r>
      <w:r w:rsidR="007522E2">
        <w:rPr>
          <w:rFonts w:ascii="Arial" w:hAnsi="Arial" w:cs="Arial"/>
          <w:sz w:val="22"/>
          <w:szCs w:val="22"/>
        </w:rPr>
        <w:t xml:space="preserve">gehörte </w:t>
      </w:r>
      <w:r w:rsidR="00DB3E5B">
        <w:rPr>
          <w:rFonts w:ascii="Arial" w:hAnsi="Arial" w:cs="Arial"/>
          <w:sz w:val="22"/>
          <w:szCs w:val="22"/>
        </w:rPr>
        <w:t xml:space="preserve">nach </w:t>
      </w:r>
      <w:r w:rsidR="005B02EC">
        <w:rPr>
          <w:rFonts w:ascii="Arial" w:hAnsi="Arial" w:cs="Arial"/>
          <w:sz w:val="22"/>
          <w:szCs w:val="22"/>
        </w:rPr>
        <w:t>General Clays</w:t>
      </w:r>
      <w:r w:rsidR="007522E2">
        <w:rPr>
          <w:rFonts w:ascii="Arial" w:hAnsi="Arial" w:cs="Arial"/>
          <w:sz w:val="22"/>
          <w:szCs w:val="22"/>
        </w:rPr>
        <w:t xml:space="preserve"> Meinung </w:t>
      </w:r>
      <w:r w:rsidR="00DB3E5B">
        <w:rPr>
          <w:rFonts w:ascii="Arial" w:hAnsi="Arial" w:cs="Arial"/>
          <w:sz w:val="22"/>
          <w:szCs w:val="22"/>
        </w:rPr>
        <w:t xml:space="preserve">die Auseinandersetzung mit den Taten ihrer Mitübriger </w:t>
      </w:r>
      <w:r w:rsidR="007522E2">
        <w:rPr>
          <w:rFonts w:ascii="Arial" w:hAnsi="Arial" w:cs="Arial"/>
          <w:sz w:val="22"/>
          <w:szCs w:val="22"/>
        </w:rPr>
        <w:t xml:space="preserve">zu einer </w:t>
      </w:r>
      <w:r w:rsidR="009A6165">
        <w:rPr>
          <w:rFonts w:ascii="Arial" w:hAnsi="Arial" w:cs="Arial"/>
          <w:sz w:val="22"/>
          <w:szCs w:val="22"/>
        </w:rPr>
        <w:t>Umerziehung</w:t>
      </w:r>
      <w:r w:rsidR="007522E2">
        <w:rPr>
          <w:rFonts w:ascii="Arial" w:hAnsi="Arial" w:cs="Arial"/>
          <w:sz w:val="22"/>
          <w:szCs w:val="22"/>
        </w:rPr>
        <w:t xml:space="preserve"> der Deutschen.</w:t>
      </w:r>
      <w:r w:rsidR="00DD16A5">
        <w:rPr>
          <w:rFonts w:ascii="Arial" w:hAnsi="Arial" w:cs="Arial"/>
          <w:sz w:val="22"/>
          <w:szCs w:val="22"/>
        </w:rPr>
        <w:t xml:space="preserve"> </w:t>
      </w:r>
      <w:r w:rsidR="00A900AB">
        <w:rPr>
          <w:rFonts w:ascii="Arial" w:hAnsi="Arial" w:cs="Arial"/>
          <w:sz w:val="22"/>
          <w:szCs w:val="22"/>
        </w:rPr>
        <w:t>Für die Alliierten war vor allem die persönliche Schuld entscheidend: Jeder Deutsche musste in einem Fragebogen Auskunft über seinen Beruf und seine Tätigkeit während der Zeit des Nationalsozialismus geben. Der Bogen umfasste 131 Fragen und musste ehrlich und vollständig beantwortet werden. Als Höchststrafe drohten einem Hauptschuldigen zehn Jahre Arbeitslager.</w:t>
      </w:r>
    </w:p>
    <w:p w:rsidR="00067EDF" w:rsidRDefault="00DD16A5" w:rsidP="0031606E">
      <w:pPr>
        <w:spacing w:line="360" w:lineRule="auto"/>
        <w:jc w:val="both"/>
        <w:rPr>
          <w:rFonts w:ascii="Arial" w:hAnsi="Arial" w:cs="Arial"/>
          <w:sz w:val="22"/>
          <w:szCs w:val="22"/>
        </w:rPr>
      </w:pPr>
      <w:r>
        <w:rPr>
          <w:rFonts w:ascii="Arial" w:hAnsi="Arial" w:cs="Arial"/>
          <w:sz w:val="22"/>
          <w:szCs w:val="22"/>
        </w:rPr>
        <w:t xml:space="preserve">Das Gesetz 104 zur </w:t>
      </w:r>
      <w:r w:rsidR="00112356">
        <w:rPr>
          <w:rFonts w:ascii="Arial" w:hAnsi="Arial" w:cs="Arial"/>
          <w:sz w:val="22"/>
          <w:szCs w:val="22"/>
        </w:rPr>
        <w:t>Befreiung</w:t>
      </w:r>
      <w:r>
        <w:rPr>
          <w:rFonts w:ascii="Arial" w:hAnsi="Arial" w:cs="Arial"/>
          <w:sz w:val="22"/>
          <w:szCs w:val="22"/>
        </w:rPr>
        <w:t xml:space="preserve"> von Nationalsozialismus und Militarismus </w:t>
      </w:r>
      <w:r w:rsidR="005B02EC">
        <w:rPr>
          <w:rFonts w:ascii="Arial" w:hAnsi="Arial" w:cs="Arial"/>
          <w:sz w:val="22"/>
          <w:szCs w:val="22"/>
        </w:rPr>
        <w:t xml:space="preserve">vom 5. März 1946 gab die Entnazifizierung in deutsche Hand und </w:t>
      </w:r>
      <w:r>
        <w:rPr>
          <w:rFonts w:ascii="Arial" w:hAnsi="Arial" w:cs="Arial"/>
          <w:sz w:val="22"/>
          <w:szCs w:val="22"/>
        </w:rPr>
        <w:t>unterteilte die deutsche Bevölkerung in fünf Untergruppen:</w:t>
      </w:r>
      <w:r w:rsidR="00112356">
        <w:rPr>
          <w:rFonts w:ascii="Arial" w:hAnsi="Arial" w:cs="Arial"/>
          <w:sz w:val="22"/>
          <w:szCs w:val="22"/>
        </w:rPr>
        <w:t xml:space="preserve"> Hauptschuldige, Belastete, Minderbelastete, Mitläufer und Entlastete. In den Stadt- und Landkreisen wurden Spruchkammern eingerichtet, die aus einem öffentlichen Kläger, einem Vorsitzenden mit </w:t>
      </w:r>
      <w:r w:rsidR="00DB3E5B">
        <w:rPr>
          <w:rFonts w:ascii="Arial" w:hAnsi="Arial" w:cs="Arial"/>
          <w:sz w:val="22"/>
          <w:szCs w:val="22"/>
        </w:rPr>
        <w:t>der</w:t>
      </w:r>
      <w:r w:rsidR="00112356">
        <w:rPr>
          <w:rFonts w:ascii="Arial" w:hAnsi="Arial" w:cs="Arial"/>
          <w:sz w:val="22"/>
          <w:szCs w:val="22"/>
        </w:rPr>
        <w:t xml:space="preserve"> Befähigung zum Richteramt und zwei Beisitzern</w:t>
      </w:r>
      <w:r w:rsidR="00DB3E5B">
        <w:rPr>
          <w:rFonts w:ascii="Arial" w:hAnsi="Arial" w:cs="Arial"/>
          <w:sz w:val="22"/>
          <w:szCs w:val="22"/>
        </w:rPr>
        <w:t xml:space="preserve"> –</w:t>
      </w:r>
      <w:r w:rsidR="00112356">
        <w:rPr>
          <w:rFonts w:ascii="Arial" w:hAnsi="Arial" w:cs="Arial"/>
          <w:sz w:val="22"/>
          <w:szCs w:val="22"/>
        </w:rPr>
        <w:t xml:space="preserve"> davon einer aus derselben oder einer ähnlichen Berufsgruppe wie der Angeklagte</w:t>
      </w:r>
      <w:r w:rsidR="00DB3E5B">
        <w:rPr>
          <w:rFonts w:ascii="Arial" w:hAnsi="Arial" w:cs="Arial"/>
          <w:sz w:val="22"/>
          <w:szCs w:val="22"/>
        </w:rPr>
        <w:t xml:space="preserve"> –</w:t>
      </w:r>
      <w:r w:rsidR="00112356">
        <w:rPr>
          <w:rFonts w:ascii="Arial" w:hAnsi="Arial" w:cs="Arial"/>
          <w:sz w:val="22"/>
          <w:szCs w:val="22"/>
        </w:rPr>
        <w:t xml:space="preserve"> bestehen sollte. </w:t>
      </w:r>
      <w:r w:rsidR="00DA18A7">
        <w:rPr>
          <w:rFonts w:ascii="Arial" w:hAnsi="Arial" w:cs="Arial"/>
          <w:sz w:val="22"/>
          <w:szCs w:val="22"/>
        </w:rPr>
        <w:t xml:space="preserve">Die ausgewählten Personen sollten persönlich unbescholten und </w:t>
      </w:r>
      <w:proofErr w:type="spellStart"/>
      <w:r w:rsidR="00DA18A7">
        <w:rPr>
          <w:rFonts w:ascii="Arial" w:hAnsi="Arial" w:cs="Arial"/>
          <w:sz w:val="22"/>
          <w:szCs w:val="22"/>
        </w:rPr>
        <w:t>gerechtdenken</w:t>
      </w:r>
      <w:r w:rsidR="009C2B05">
        <w:rPr>
          <w:rFonts w:ascii="Arial" w:hAnsi="Arial" w:cs="Arial"/>
          <w:sz w:val="22"/>
          <w:szCs w:val="22"/>
        </w:rPr>
        <w:t>d</w:t>
      </w:r>
      <w:proofErr w:type="spellEnd"/>
      <w:r w:rsidR="00DA18A7">
        <w:rPr>
          <w:rFonts w:ascii="Arial" w:hAnsi="Arial" w:cs="Arial"/>
          <w:sz w:val="22"/>
          <w:szCs w:val="22"/>
        </w:rPr>
        <w:t xml:space="preserve"> sein.</w:t>
      </w:r>
      <w:r w:rsidR="009C2B05">
        <w:rPr>
          <w:rFonts w:ascii="Arial" w:hAnsi="Arial" w:cs="Arial"/>
          <w:sz w:val="22"/>
          <w:szCs w:val="22"/>
        </w:rPr>
        <w:t xml:space="preserve"> </w:t>
      </w:r>
      <w:r w:rsidR="00822631">
        <w:rPr>
          <w:rFonts w:ascii="Arial" w:hAnsi="Arial" w:cs="Arial"/>
          <w:sz w:val="22"/>
          <w:szCs w:val="22"/>
        </w:rPr>
        <w:t xml:space="preserve">Innerhalb des Verfahrens konnte </w:t>
      </w:r>
      <w:r w:rsidR="00F87833">
        <w:rPr>
          <w:rFonts w:ascii="Arial" w:hAnsi="Arial" w:cs="Arial"/>
          <w:sz w:val="22"/>
          <w:szCs w:val="22"/>
        </w:rPr>
        <w:t>ein Angeklagter</w:t>
      </w:r>
      <w:r w:rsidR="00822631">
        <w:rPr>
          <w:rFonts w:ascii="Arial" w:hAnsi="Arial" w:cs="Arial"/>
          <w:sz w:val="22"/>
          <w:szCs w:val="22"/>
        </w:rPr>
        <w:t xml:space="preserve"> sich entlasten, wenn </w:t>
      </w:r>
      <w:r w:rsidR="00F87833">
        <w:rPr>
          <w:rFonts w:ascii="Arial" w:hAnsi="Arial" w:cs="Arial"/>
          <w:sz w:val="22"/>
          <w:szCs w:val="22"/>
        </w:rPr>
        <w:t>er</w:t>
      </w:r>
      <w:r w:rsidR="00822631">
        <w:rPr>
          <w:rFonts w:ascii="Arial" w:hAnsi="Arial" w:cs="Arial"/>
          <w:sz w:val="22"/>
          <w:szCs w:val="22"/>
        </w:rPr>
        <w:t xml:space="preserve"> </w:t>
      </w:r>
      <w:r w:rsidR="00375918">
        <w:rPr>
          <w:rFonts w:ascii="Arial" w:hAnsi="Arial" w:cs="Arial"/>
          <w:sz w:val="22"/>
          <w:szCs w:val="22"/>
        </w:rPr>
        <w:t xml:space="preserve">ein Schreiben eines Opfers oder eines ehemaligen Gegners des nationalsozialistischen Regimes aufweisen konnte, </w:t>
      </w:r>
      <w:r w:rsidR="00F87833">
        <w:rPr>
          <w:rFonts w:ascii="Arial" w:hAnsi="Arial" w:cs="Arial"/>
          <w:sz w:val="22"/>
          <w:szCs w:val="22"/>
        </w:rPr>
        <w:t xml:space="preserve">das </w:t>
      </w:r>
      <w:r w:rsidR="00DB3E5B">
        <w:rPr>
          <w:rFonts w:ascii="Arial" w:hAnsi="Arial" w:cs="Arial"/>
          <w:sz w:val="22"/>
          <w:szCs w:val="22"/>
        </w:rPr>
        <w:t>ihn</w:t>
      </w:r>
      <w:r w:rsidR="00F87833">
        <w:rPr>
          <w:rFonts w:ascii="Arial" w:hAnsi="Arial" w:cs="Arial"/>
          <w:sz w:val="22"/>
          <w:szCs w:val="22"/>
        </w:rPr>
        <w:t xml:space="preserve"> vom Vorwurf, Teilhabe am Nationalsozialismus zu haben „reinwusch“.</w:t>
      </w:r>
      <w:r w:rsidR="001E3848">
        <w:rPr>
          <w:rFonts w:ascii="Arial" w:hAnsi="Arial" w:cs="Arial"/>
          <w:sz w:val="22"/>
          <w:szCs w:val="22"/>
        </w:rPr>
        <w:t xml:space="preserve"> Deswegen nannte man diese Schreiben umgangssprachlich „Persilscheine“.</w:t>
      </w:r>
      <w:r w:rsidR="00D50B65">
        <w:rPr>
          <w:rFonts w:ascii="Arial" w:hAnsi="Arial" w:cs="Arial"/>
          <w:sz w:val="22"/>
          <w:szCs w:val="22"/>
        </w:rPr>
        <w:t xml:space="preserve"> </w:t>
      </w:r>
      <w:r w:rsidR="00067EDF">
        <w:rPr>
          <w:rFonts w:ascii="Arial" w:hAnsi="Arial" w:cs="Arial"/>
          <w:sz w:val="22"/>
          <w:szCs w:val="22"/>
        </w:rPr>
        <w:t xml:space="preserve">In </w:t>
      </w:r>
      <w:r w:rsidR="00DB3E5B">
        <w:rPr>
          <w:rFonts w:ascii="Arial" w:hAnsi="Arial" w:cs="Arial"/>
          <w:sz w:val="22"/>
          <w:szCs w:val="22"/>
        </w:rPr>
        <w:t>solchen</w:t>
      </w:r>
      <w:r w:rsidR="00067EDF">
        <w:rPr>
          <w:rFonts w:ascii="Arial" w:hAnsi="Arial" w:cs="Arial"/>
          <w:sz w:val="22"/>
          <w:szCs w:val="22"/>
        </w:rPr>
        <w:t xml:space="preserve"> Verfahren gab es auch Fälle von gezielter </w:t>
      </w:r>
      <w:r w:rsidR="00BD018A">
        <w:rPr>
          <w:rFonts w:ascii="Arial" w:hAnsi="Arial" w:cs="Arial"/>
          <w:sz w:val="22"/>
          <w:szCs w:val="22"/>
        </w:rPr>
        <w:t xml:space="preserve">Denunziation. </w:t>
      </w:r>
      <w:r w:rsidR="00DB3E5B">
        <w:rPr>
          <w:rFonts w:ascii="Arial" w:hAnsi="Arial" w:cs="Arial"/>
          <w:sz w:val="22"/>
          <w:szCs w:val="22"/>
        </w:rPr>
        <w:t xml:space="preserve">So konnte man sich unbeliebter Personen entledigen oder sich bereichern. </w:t>
      </w:r>
    </w:p>
    <w:p w:rsidR="002C2585" w:rsidRDefault="002C2585" w:rsidP="0031606E">
      <w:pPr>
        <w:spacing w:line="360" w:lineRule="auto"/>
        <w:jc w:val="both"/>
        <w:rPr>
          <w:rFonts w:ascii="Arial" w:hAnsi="Arial" w:cs="Arial"/>
          <w:sz w:val="22"/>
          <w:szCs w:val="22"/>
        </w:rPr>
      </w:pPr>
      <w:r>
        <w:rPr>
          <w:rFonts w:ascii="Arial" w:hAnsi="Arial" w:cs="Arial"/>
          <w:sz w:val="22"/>
          <w:szCs w:val="22"/>
        </w:rPr>
        <w:t>Der Schorndorfer Gottlieb Kamm</w:t>
      </w:r>
      <w:r w:rsidR="00E1230D">
        <w:rPr>
          <w:rStyle w:val="Funotenzeichen"/>
          <w:rFonts w:ascii="Arial" w:hAnsi="Arial" w:cs="Arial"/>
          <w:sz w:val="22"/>
          <w:szCs w:val="22"/>
        </w:rPr>
        <w:footnoteReference w:id="3"/>
      </w:r>
      <w:r>
        <w:rPr>
          <w:rFonts w:ascii="Arial" w:hAnsi="Arial" w:cs="Arial"/>
          <w:sz w:val="22"/>
          <w:szCs w:val="22"/>
        </w:rPr>
        <w:t xml:space="preserve">, der von den Amerikanern zum Staatsminister für politische Befreiung </w:t>
      </w:r>
      <w:r w:rsidR="00650C7C">
        <w:rPr>
          <w:rFonts w:ascii="Arial" w:hAnsi="Arial" w:cs="Arial"/>
          <w:sz w:val="22"/>
          <w:szCs w:val="22"/>
        </w:rPr>
        <w:t>befördert wurde,</w:t>
      </w:r>
      <w:r w:rsidR="00937898">
        <w:rPr>
          <w:rFonts w:ascii="Arial" w:hAnsi="Arial" w:cs="Arial"/>
          <w:sz w:val="22"/>
          <w:szCs w:val="22"/>
        </w:rPr>
        <w:t xml:space="preserve"> berichtete davon, dass es schwierig war, unbescholtene Personen für die Spruchkammern zu finden, da andere Arbeitsstellen besser bezahlt waren. Außerdem fehlte es in der </w:t>
      </w:r>
      <w:r w:rsidR="00D0338D">
        <w:rPr>
          <w:rFonts w:ascii="Arial" w:hAnsi="Arial" w:cs="Arial"/>
          <w:sz w:val="22"/>
          <w:szCs w:val="22"/>
        </w:rPr>
        <w:t xml:space="preserve">Nachkriegszeit an allem </w:t>
      </w:r>
      <w:r w:rsidR="009A4799">
        <w:rPr>
          <w:rFonts w:ascii="Arial" w:hAnsi="Arial" w:cs="Arial"/>
          <w:sz w:val="22"/>
          <w:szCs w:val="22"/>
        </w:rPr>
        <w:t>N</w:t>
      </w:r>
      <w:r w:rsidR="00D0338D">
        <w:rPr>
          <w:rFonts w:ascii="Arial" w:hAnsi="Arial" w:cs="Arial"/>
          <w:sz w:val="22"/>
          <w:szCs w:val="22"/>
        </w:rPr>
        <w:t>ötigen</w:t>
      </w:r>
      <w:r w:rsidR="009A4799">
        <w:rPr>
          <w:rFonts w:ascii="Arial" w:hAnsi="Arial" w:cs="Arial"/>
          <w:sz w:val="22"/>
          <w:szCs w:val="22"/>
        </w:rPr>
        <w:t>. Zum Beispiel musste</w:t>
      </w:r>
      <w:r w:rsidR="00D0338D">
        <w:rPr>
          <w:rFonts w:ascii="Arial" w:hAnsi="Arial" w:cs="Arial"/>
          <w:sz w:val="22"/>
          <w:szCs w:val="22"/>
        </w:rPr>
        <w:t xml:space="preserve"> Kamm ein Gesetz erlassen, dass das Stehlen von </w:t>
      </w:r>
      <w:proofErr w:type="spellStart"/>
      <w:r w:rsidR="00D0338D">
        <w:rPr>
          <w:rFonts w:ascii="Arial" w:hAnsi="Arial" w:cs="Arial"/>
          <w:sz w:val="22"/>
          <w:szCs w:val="22"/>
        </w:rPr>
        <w:t>Einrichtunsgegenständen</w:t>
      </w:r>
      <w:proofErr w:type="spellEnd"/>
      <w:r w:rsidR="00D0338D">
        <w:rPr>
          <w:rFonts w:ascii="Arial" w:hAnsi="Arial" w:cs="Arial"/>
          <w:sz w:val="22"/>
          <w:szCs w:val="22"/>
        </w:rPr>
        <w:t xml:space="preserve"> </w:t>
      </w:r>
      <w:r w:rsidR="009A4799">
        <w:rPr>
          <w:rFonts w:ascii="Arial" w:hAnsi="Arial" w:cs="Arial"/>
          <w:sz w:val="22"/>
          <w:szCs w:val="22"/>
        </w:rPr>
        <w:t xml:space="preserve">wie Glühbirnen </w:t>
      </w:r>
      <w:r w:rsidR="00D0338D">
        <w:rPr>
          <w:rFonts w:ascii="Arial" w:hAnsi="Arial" w:cs="Arial"/>
          <w:sz w:val="22"/>
          <w:szCs w:val="22"/>
        </w:rPr>
        <w:t>für den eigenen Bedarf zur sofortigen Entlassung führ</w:t>
      </w:r>
      <w:r w:rsidR="009A4799">
        <w:rPr>
          <w:rFonts w:ascii="Arial" w:hAnsi="Arial" w:cs="Arial"/>
          <w:sz w:val="22"/>
          <w:szCs w:val="22"/>
        </w:rPr>
        <w:t>te</w:t>
      </w:r>
      <w:r w:rsidR="00D0338D">
        <w:rPr>
          <w:rFonts w:ascii="Arial" w:hAnsi="Arial" w:cs="Arial"/>
          <w:sz w:val="22"/>
          <w:szCs w:val="22"/>
        </w:rPr>
        <w:t xml:space="preserve">. </w:t>
      </w:r>
      <w:r w:rsidR="00BD7020">
        <w:rPr>
          <w:rFonts w:ascii="Arial" w:hAnsi="Arial" w:cs="Arial"/>
          <w:sz w:val="22"/>
          <w:szCs w:val="22"/>
        </w:rPr>
        <w:t>Au</w:t>
      </w:r>
      <w:r w:rsidR="005826CA">
        <w:rPr>
          <w:rFonts w:ascii="Arial" w:hAnsi="Arial" w:cs="Arial"/>
          <w:sz w:val="22"/>
          <w:szCs w:val="22"/>
        </w:rPr>
        <w:t>c</w:t>
      </w:r>
      <w:r w:rsidR="00BD7020">
        <w:rPr>
          <w:rFonts w:ascii="Arial" w:hAnsi="Arial" w:cs="Arial"/>
          <w:sz w:val="22"/>
          <w:szCs w:val="22"/>
        </w:rPr>
        <w:t>h Toilettenpapier war so knapp, dass das Durchschlagspapier von den Prozessmitschri</w:t>
      </w:r>
      <w:r w:rsidR="00DB3E5B">
        <w:rPr>
          <w:rFonts w:ascii="Arial" w:hAnsi="Arial" w:cs="Arial"/>
          <w:sz w:val="22"/>
          <w:szCs w:val="22"/>
        </w:rPr>
        <w:t>ften</w:t>
      </w:r>
      <w:r w:rsidR="00BD7020">
        <w:rPr>
          <w:rFonts w:ascii="Arial" w:hAnsi="Arial" w:cs="Arial"/>
          <w:sz w:val="22"/>
          <w:szCs w:val="22"/>
        </w:rPr>
        <w:t xml:space="preserve"> genutzt wurde.</w:t>
      </w:r>
      <w:r w:rsidR="005826CA">
        <w:rPr>
          <w:rFonts w:ascii="Arial" w:hAnsi="Arial" w:cs="Arial"/>
          <w:sz w:val="22"/>
          <w:szCs w:val="22"/>
        </w:rPr>
        <w:t xml:space="preserve"> </w:t>
      </w:r>
    </w:p>
    <w:p w:rsidR="00E1230D" w:rsidRPr="002D7BE5" w:rsidRDefault="00E1230D" w:rsidP="00E1230D">
      <w:pPr>
        <w:rPr>
          <w:rFonts w:ascii="Arial" w:eastAsia="Times New Roman" w:hAnsi="Arial" w:cs="Arial"/>
          <w:color w:val="000000" w:themeColor="text1"/>
          <w:sz w:val="14"/>
          <w:szCs w:val="14"/>
          <w:lang w:eastAsia="de-DE"/>
        </w:rPr>
      </w:pPr>
      <w:r w:rsidRPr="002D7BE5">
        <w:rPr>
          <w:rFonts w:ascii="Arial" w:eastAsia="Times New Roman" w:hAnsi="Arial" w:cs="Arial"/>
          <w:color w:val="000000" w:themeColor="text1"/>
          <w:sz w:val="14"/>
          <w:szCs w:val="14"/>
          <w:shd w:val="clear" w:color="auto" w:fill="FFFFFF"/>
          <w:lang w:eastAsia="de-DE"/>
        </w:rPr>
        <w:t xml:space="preserve">Bild: (https://commons.wikimedia.org/wiki/File:Lucius-d-clay-80-87.jpg), „Lucius-d-clay-80-87“, als gemeinfrei gekennzeichnet, Details auf Wikimedia </w:t>
      </w:r>
      <w:proofErr w:type="spellStart"/>
      <w:r w:rsidRPr="002D7BE5">
        <w:rPr>
          <w:rFonts w:ascii="Arial" w:eastAsia="Times New Roman" w:hAnsi="Arial" w:cs="Arial"/>
          <w:color w:val="000000" w:themeColor="text1"/>
          <w:sz w:val="14"/>
          <w:szCs w:val="14"/>
          <w:shd w:val="clear" w:color="auto" w:fill="FFFFFF"/>
          <w:lang w:eastAsia="de-DE"/>
        </w:rPr>
        <w:t>Commons</w:t>
      </w:r>
      <w:proofErr w:type="spellEnd"/>
      <w:r w:rsidRPr="002D7BE5">
        <w:rPr>
          <w:rFonts w:ascii="Arial" w:eastAsia="Times New Roman" w:hAnsi="Arial" w:cs="Arial"/>
          <w:color w:val="000000" w:themeColor="text1"/>
          <w:sz w:val="14"/>
          <w:szCs w:val="14"/>
          <w:shd w:val="clear" w:color="auto" w:fill="FFFFFF"/>
          <w:lang w:eastAsia="de-DE"/>
        </w:rPr>
        <w:t>: https://commons.wikimedia.org/wiki/Template:PD-US</w:t>
      </w:r>
    </w:p>
    <w:p w:rsidR="000B5A8D" w:rsidRDefault="000B5A8D" w:rsidP="0031606E">
      <w:pPr>
        <w:spacing w:line="360" w:lineRule="auto"/>
        <w:jc w:val="both"/>
        <w:rPr>
          <w:rFonts w:ascii="Arial" w:hAnsi="Arial" w:cs="Arial"/>
          <w:sz w:val="22"/>
          <w:szCs w:val="22"/>
        </w:rPr>
      </w:pPr>
    </w:p>
    <w:p w:rsidR="00E1230D" w:rsidRPr="00E1230D" w:rsidRDefault="00E1230D" w:rsidP="00E1230D">
      <w:pPr>
        <w:spacing w:line="360" w:lineRule="auto"/>
        <w:jc w:val="both"/>
        <w:rPr>
          <w:rFonts w:ascii="Arial" w:hAnsi="Arial" w:cs="Arial"/>
          <w:sz w:val="22"/>
          <w:szCs w:val="22"/>
        </w:rPr>
      </w:pPr>
    </w:p>
    <w:p w:rsidR="00E1230D" w:rsidRDefault="00E1230D" w:rsidP="00E1230D">
      <w:pPr>
        <w:pStyle w:val="Listenabsatz"/>
        <w:spacing w:line="360" w:lineRule="auto"/>
        <w:jc w:val="both"/>
        <w:rPr>
          <w:rFonts w:ascii="Arial" w:hAnsi="Arial" w:cs="Arial"/>
          <w:sz w:val="22"/>
          <w:szCs w:val="22"/>
        </w:rPr>
      </w:pPr>
    </w:p>
    <w:p w:rsidR="00E1230D" w:rsidRDefault="00E1230D" w:rsidP="00E1230D">
      <w:pPr>
        <w:pStyle w:val="Listenabsatz"/>
        <w:spacing w:line="360" w:lineRule="auto"/>
        <w:jc w:val="both"/>
        <w:rPr>
          <w:rFonts w:ascii="Arial" w:hAnsi="Arial" w:cs="Arial"/>
          <w:sz w:val="22"/>
          <w:szCs w:val="22"/>
        </w:rPr>
      </w:pPr>
    </w:p>
    <w:p w:rsidR="00E1230D" w:rsidRDefault="00E1230D" w:rsidP="00E1230D">
      <w:pPr>
        <w:pStyle w:val="Listenabsatz"/>
        <w:spacing w:line="360" w:lineRule="auto"/>
        <w:jc w:val="both"/>
        <w:rPr>
          <w:rFonts w:ascii="Arial" w:hAnsi="Arial" w:cs="Arial"/>
          <w:sz w:val="22"/>
          <w:szCs w:val="22"/>
        </w:rPr>
      </w:pPr>
      <w:bookmarkStart w:id="0" w:name="_GoBack"/>
      <w:bookmarkEnd w:id="0"/>
    </w:p>
    <w:p w:rsidR="000B5A8D" w:rsidRPr="00E9760A" w:rsidRDefault="000B5A8D" w:rsidP="00E9760A">
      <w:pPr>
        <w:pStyle w:val="Listenabsatz"/>
        <w:numPr>
          <w:ilvl w:val="0"/>
          <w:numId w:val="2"/>
        </w:numPr>
        <w:spacing w:line="360" w:lineRule="auto"/>
        <w:jc w:val="both"/>
        <w:rPr>
          <w:rFonts w:ascii="Arial" w:hAnsi="Arial" w:cs="Arial"/>
          <w:sz w:val="22"/>
          <w:szCs w:val="22"/>
        </w:rPr>
      </w:pPr>
      <w:r w:rsidRPr="00E9760A">
        <w:rPr>
          <w:rFonts w:ascii="Arial" w:hAnsi="Arial" w:cs="Arial"/>
          <w:sz w:val="22"/>
          <w:szCs w:val="22"/>
        </w:rPr>
        <w:lastRenderedPageBreak/>
        <w:t>Beschreibe die Abläufe des Entnazifizierungsprozesses im amerikanischen Sektor.</w:t>
      </w:r>
    </w:p>
    <w:p w:rsidR="000B5A8D" w:rsidRPr="00E9760A" w:rsidRDefault="000B5A8D" w:rsidP="00E9760A">
      <w:pPr>
        <w:pStyle w:val="Listenabsatz"/>
        <w:numPr>
          <w:ilvl w:val="0"/>
          <w:numId w:val="2"/>
        </w:numPr>
        <w:spacing w:line="360" w:lineRule="auto"/>
        <w:jc w:val="both"/>
        <w:rPr>
          <w:rFonts w:ascii="Arial" w:hAnsi="Arial" w:cs="Arial"/>
          <w:sz w:val="22"/>
          <w:szCs w:val="22"/>
        </w:rPr>
      </w:pPr>
      <w:r w:rsidRPr="00E9760A">
        <w:rPr>
          <w:rFonts w:ascii="Arial" w:hAnsi="Arial" w:cs="Arial"/>
          <w:sz w:val="22"/>
          <w:szCs w:val="22"/>
        </w:rPr>
        <w:t>Analysiere die Probleme, die mit dem Entnazifizierungsprozess einhergingen.</w:t>
      </w:r>
    </w:p>
    <w:p w:rsidR="000B5A8D" w:rsidRPr="00E9760A" w:rsidRDefault="000B5A8D" w:rsidP="00E9760A">
      <w:pPr>
        <w:pStyle w:val="Listenabsatz"/>
        <w:numPr>
          <w:ilvl w:val="0"/>
          <w:numId w:val="2"/>
        </w:numPr>
        <w:spacing w:line="360" w:lineRule="auto"/>
        <w:jc w:val="both"/>
        <w:rPr>
          <w:rFonts w:ascii="Arial" w:hAnsi="Arial" w:cs="Arial"/>
          <w:sz w:val="22"/>
          <w:szCs w:val="22"/>
        </w:rPr>
      </w:pPr>
      <w:r w:rsidRPr="00E9760A">
        <w:rPr>
          <w:rFonts w:ascii="Arial" w:hAnsi="Arial" w:cs="Arial"/>
          <w:sz w:val="22"/>
          <w:szCs w:val="22"/>
        </w:rPr>
        <w:t xml:space="preserve">Beurteile, warum die Deutschen den Entnazifizierungsprozess mit diesem Ausspruch beschrieben: </w:t>
      </w:r>
      <w:r w:rsidR="00710606" w:rsidRPr="00E9760A">
        <w:rPr>
          <w:rFonts w:ascii="Arial" w:hAnsi="Arial" w:cs="Arial"/>
          <w:sz w:val="22"/>
          <w:szCs w:val="22"/>
        </w:rPr>
        <w:t>„Seitdem uns die demokratische Sonne bescheint, werden wir immer brauner“.</w:t>
      </w:r>
    </w:p>
    <w:sectPr w:rsidR="000B5A8D" w:rsidRPr="00E9760A" w:rsidSect="00F60A1E">
      <w:foot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4275" w:rsidRDefault="00784275" w:rsidP="0039639E">
      <w:r>
        <w:separator/>
      </w:r>
    </w:p>
  </w:endnote>
  <w:endnote w:type="continuationSeparator" w:id="0">
    <w:p w:rsidR="00784275" w:rsidRDefault="00784275" w:rsidP="00396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286E" w:rsidRPr="00D0286E" w:rsidRDefault="00D0286E" w:rsidP="00D0286E">
    <w:pPr>
      <w:jc w:val="center"/>
      <w:rPr>
        <w:rFonts w:ascii="Times New Roman" w:eastAsia="Times New Roman" w:hAnsi="Times New Roman" w:cs="Times New Roman"/>
        <w:sz w:val="21"/>
        <w:szCs w:val="21"/>
        <w:lang w:eastAsia="de-DE"/>
      </w:rPr>
    </w:pPr>
    <w:r w:rsidRPr="00C85C83">
      <w:rPr>
        <w:rFonts w:ascii="Helvetica" w:eastAsia="Times New Roman" w:hAnsi="Helvetica" w:cs="Times New Roman"/>
        <w:color w:val="000000"/>
        <w:sz w:val="21"/>
        <w:szCs w:val="21"/>
        <w:lang w:eastAsia="de-DE"/>
      </w:rPr>
      <w:t>Arbeitskreis für Landeskunde/Landesgeschichte RP Stuttgart</w:t>
    </w:r>
    <w:r w:rsidRPr="00C85C83">
      <w:rPr>
        <w:rFonts w:ascii="Helvetica" w:eastAsia="Times New Roman" w:hAnsi="Helvetica" w:cs="Times New Roman"/>
        <w:color w:val="000000"/>
        <w:sz w:val="21"/>
        <w:szCs w:val="21"/>
        <w:lang w:eastAsia="de-DE"/>
      </w:rPr>
      <w:br/>
    </w:r>
    <w:hyperlink r:id="rId1" w:history="1">
      <w:r w:rsidRPr="00C85C83">
        <w:rPr>
          <w:rFonts w:ascii="Helvetica" w:eastAsia="Times New Roman" w:hAnsi="Helvetica" w:cs="Times New Roman"/>
          <w:color w:val="0000FF"/>
          <w:sz w:val="21"/>
          <w:szCs w:val="21"/>
          <w:u w:val="single"/>
          <w:lang w:eastAsia="de-DE"/>
        </w:rPr>
        <w:t>www.landeskunde-bw.de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4275" w:rsidRDefault="00784275" w:rsidP="0039639E">
      <w:r>
        <w:separator/>
      </w:r>
    </w:p>
  </w:footnote>
  <w:footnote w:type="continuationSeparator" w:id="0">
    <w:p w:rsidR="00784275" w:rsidRDefault="00784275" w:rsidP="0039639E">
      <w:r>
        <w:continuationSeparator/>
      </w:r>
    </w:p>
  </w:footnote>
  <w:footnote w:id="1">
    <w:p w:rsidR="0039639E" w:rsidRPr="00E1230D" w:rsidRDefault="0039639E">
      <w:pPr>
        <w:pStyle w:val="Funotentext"/>
        <w:rPr>
          <w:rFonts w:ascii="Arial" w:hAnsi="Arial" w:cs="Arial"/>
          <w:sz w:val="16"/>
          <w:szCs w:val="16"/>
        </w:rPr>
      </w:pPr>
      <w:r w:rsidRPr="00E1230D">
        <w:rPr>
          <w:rStyle w:val="Funotenzeichen"/>
          <w:rFonts w:ascii="Arial" w:hAnsi="Arial" w:cs="Arial"/>
          <w:sz w:val="16"/>
          <w:szCs w:val="16"/>
        </w:rPr>
        <w:footnoteRef/>
      </w:r>
      <w:r w:rsidRPr="00E1230D">
        <w:rPr>
          <w:rFonts w:ascii="Arial" w:hAnsi="Arial" w:cs="Arial"/>
          <w:sz w:val="16"/>
          <w:szCs w:val="16"/>
        </w:rPr>
        <w:t xml:space="preserve"> </w:t>
      </w:r>
      <w:r w:rsidRPr="00E1230D">
        <w:rPr>
          <w:rFonts w:ascii="Arial" w:hAnsi="Arial" w:cs="Arial"/>
          <w:color w:val="000000" w:themeColor="text1"/>
          <w:sz w:val="16"/>
          <w:szCs w:val="16"/>
        </w:rPr>
        <w:t>Lutz Niethammer, Die Mitläuferfabrik, Die Entnazifizierung am Beispiel Bayerns, Berlin/Bonn 1982, S. 626. Anton Egner, Bernhard Müller, Konfrontation und Kooperation. Ein geteiltes Deutschland in einer geteilten Welt – Deutschland nach 1945, Hannover 1988, S.31.</w:t>
      </w:r>
    </w:p>
  </w:footnote>
  <w:footnote w:id="2">
    <w:p w:rsidR="00166F18" w:rsidRPr="00E1230D" w:rsidRDefault="00166F18">
      <w:pPr>
        <w:pStyle w:val="Funotentext"/>
        <w:rPr>
          <w:rFonts w:ascii="Arial" w:hAnsi="Arial" w:cs="Arial"/>
          <w:sz w:val="16"/>
          <w:szCs w:val="16"/>
        </w:rPr>
      </w:pPr>
      <w:r w:rsidRPr="00E1230D">
        <w:rPr>
          <w:rStyle w:val="Funotenzeichen"/>
          <w:rFonts w:ascii="Arial" w:hAnsi="Arial" w:cs="Arial"/>
          <w:sz w:val="16"/>
          <w:szCs w:val="16"/>
        </w:rPr>
        <w:footnoteRef/>
      </w:r>
      <w:r w:rsidRPr="00E1230D">
        <w:rPr>
          <w:rFonts w:ascii="Arial" w:hAnsi="Arial" w:cs="Arial"/>
          <w:sz w:val="16"/>
          <w:szCs w:val="16"/>
        </w:rPr>
        <w:t xml:space="preserve"> Der Alliierte Kontrollrat galt nach dem Zweiten Weltkrieg als oberste Besatzungsbehörde für Deutschland und hatte die höchste Regierungsgewalt inne. </w:t>
      </w:r>
    </w:p>
  </w:footnote>
  <w:footnote w:id="3">
    <w:p w:rsidR="00E1230D" w:rsidRPr="00E1230D" w:rsidRDefault="00E1230D">
      <w:pPr>
        <w:pStyle w:val="Funotentext"/>
        <w:rPr>
          <w:rFonts w:ascii="Arial" w:hAnsi="Arial" w:cs="Arial"/>
          <w:sz w:val="16"/>
          <w:szCs w:val="16"/>
        </w:rPr>
      </w:pPr>
      <w:r w:rsidRPr="00E1230D">
        <w:rPr>
          <w:rStyle w:val="Funotenzeichen"/>
          <w:rFonts w:ascii="Arial" w:hAnsi="Arial" w:cs="Arial"/>
          <w:sz w:val="16"/>
          <w:szCs w:val="16"/>
        </w:rPr>
        <w:footnoteRef/>
      </w:r>
      <w:r w:rsidRPr="00E1230D">
        <w:rPr>
          <w:rFonts w:ascii="Arial" w:hAnsi="Arial" w:cs="Arial"/>
          <w:sz w:val="16"/>
          <w:szCs w:val="16"/>
        </w:rPr>
        <w:t xml:space="preserve"> </w:t>
      </w:r>
      <w:r w:rsidRPr="00E1230D">
        <w:rPr>
          <w:rFonts w:ascii="Arial" w:hAnsi="Arial" w:cs="Arial"/>
          <w:sz w:val="16"/>
          <w:szCs w:val="16"/>
        </w:rPr>
        <w:t xml:space="preserve">Gottlob Kamm wuchs in Schorndorf auf und trat 1922 der Sozialdemokratischen Partei bei. Seine politischen Aktivitäten brachten ihn 1934 für vier Monate in Haft im Konzentrationslager Oberer </w:t>
      </w:r>
      <w:proofErr w:type="spellStart"/>
      <w:r w:rsidRPr="00E1230D">
        <w:rPr>
          <w:rFonts w:ascii="Arial" w:hAnsi="Arial" w:cs="Arial"/>
          <w:sz w:val="16"/>
          <w:szCs w:val="16"/>
        </w:rPr>
        <w:t>Kuhberg</w:t>
      </w:r>
      <w:proofErr w:type="spellEnd"/>
      <w:r w:rsidRPr="00E1230D">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A9571F"/>
    <w:multiLevelType w:val="hybridMultilevel"/>
    <w:tmpl w:val="F67454F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DDC4F95"/>
    <w:multiLevelType w:val="hybridMultilevel"/>
    <w:tmpl w:val="DA3CB7C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00D"/>
    <w:rsid w:val="00020525"/>
    <w:rsid w:val="0005475F"/>
    <w:rsid w:val="000575A7"/>
    <w:rsid w:val="00061090"/>
    <w:rsid w:val="00063171"/>
    <w:rsid w:val="000654AA"/>
    <w:rsid w:val="00067EDF"/>
    <w:rsid w:val="000B5A8D"/>
    <w:rsid w:val="000D2977"/>
    <w:rsid w:val="000D4BD2"/>
    <w:rsid w:val="00112356"/>
    <w:rsid w:val="00113554"/>
    <w:rsid w:val="0015743B"/>
    <w:rsid w:val="00166F18"/>
    <w:rsid w:val="00173028"/>
    <w:rsid w:val="00193A8A"/>
    <w:rsid w:val="00194CA5"/>
    <w:rsid w:val="001D2CAF"/>
    <w:rsid w:val="001D4069"/>
    <w:rsid w:val="001E3848"/>
    <w:rsid w:val="001E7084"/>
    <w:rsid w:val="00220482"/>
    <w:rsid w:val="00220B65"/>
    <w:rsid w:val="002234DB"/>
    <w:rsid w:val="0023788A"/>
    <w:rsid w:val="00257C30"/>
    <w:rsid w:val="00293765"/>
    <w:rsid w:val="002A0936"/>
    <w:rsid w:val="002A5435"/>
    <w:rsid w:val="002C042A"/>
    <w:rsid w:val="002C2585"/>
    <w:rsid w:val="002E5392"/>
    <w:rsid w:val="0031606E"/>
    <w:rsid w:val="003335D2"/>
    <w:rsid w:val="003351F5"/>
    <w:rsid w:val="00344469"/>
    <w:rsid w:val="00350B0D"/>
    <w:rsid w:val="003629E0"/>
    <w:rsid w:val="00375918"/>
    <w:rsid w:val="0039639E"/>
    <w:rsid w:val="003A4166"/>
    <w:rsid w:val="003B32FC"/>
    <w:rsid w:val="003C081C"/>
    <w:rsid w:val="003C1C84"/>
    <w:rsid w:val="003C37F6"/>
    <w:rsid w:val="003E3ED3"/>
    <w:rsid w:val="003F601E"/>
    <w:rsid w:val="00410448"/>
    <w:rsid w:val="004223BB"/>
    <w:rsid w:val="00475F0F"/>
    <w:rsid w:val="00490BF9"/>
    <w:rsid w:val="004C1233"/>
    <w:rsid w:val="004C3752"/>
    <w:rsid w:val="004D4B10"/>
    <w:rsid w:val="004F7468"/>
    <w:rsid w:val="00507187"/>
    <w:rsid w:val="00512D30"/>
    <w:rsid w:val="0052025C"/>
    <w:rsid w:val="005302F8"/>
    <w:rsid w:val="005311B8"/>
    <w:rsid w:val="0054100D"/>
    <w:rsid w:val="00546716"/>
    <w:rsid w:val="00573A5D"/>
    <w:rsid w:val="0057459C"/>
    <w:rsid w:val="005826CA"/>
    <w:rsid w:val="00595210"/>
    <w:rsid w:val="005B02EC"/>
    <w:rsid w:val="005B0FD4"/>
    <w:rsid w:val="005D7BA6"/>
    <w:rsid w:val="005F38BA"/>
    <w:rsid w:val="006027E4"/>
    <w:rsid w:val="006229B4"/>
    <w:rsid w:val="00643C86"/>
    <w:rsid w:val="00650C7C"/>
    <w:rsid w:val="006D62C8"/>
    <w:rsid w:val="006D716F"/>
    <w:rsid w:val="006E0452"/>
    <w:rsid w:val="006E0584"/>
    <w:rsid w:val="00710606"/>
    <w:rsid w:val="00720765"/>
    <w:rsid w:val="0072090B"/>
    <w:rsid w:val="00723BB7"/>
    <w:rsid w:val="00743311"/>
    <w:rsid w:val="00745A57"/>
    <w:rsid w:val="00746C25"/>
    <w:rsid w:val="007522E2"/>
    <w:rsid w:val="0076620B"/>
    <w:rsid w:val="007831BD"/>
    <w:rsid w:val="00784275"/>
    <w:rsid w:val="0079256C"/>
    <w:rsid w:val="007A32EE"/>
    <w:rsid w:val="007A4681"/>
    <w:rsid w:val="007D5890"/>
    <w:rsid w:val="007E4974"/>
    <w:rsid w:val="007E71D2"/>
    <w:rsid w:val="007F7096"/>
    <w:rsid w:val="00811918"/>
    <w:rsid w:val="00815A2C"/>
    <w:rsid w:val="00820375"/>
    <w:rsid w:val="00822631"/>
    <w:rsid w:val="0083424F"/>
    <w:rsid w:val="00840622"/>
    <w:rsid w:val="00850D9B"/>
    <w:rsid w:val="008804E0"/>
    <w:rsid w:val="00885CF9"/>
    <w:rsid w:val="008A6408"/>
    <w:rsid w:val="008B5C62"/>
    <w:rsid w:val="008D3B12"/>
    <w:rsid w:val="008D5ED5"/>
    <w:rsid w:val="0091539F"/>
    <w:rsid w:val="00937898"/>
    <w:rsid w:val="0094277B"/>
    <w:rsid w:val="00966EF1"/>
    <w:rsid w:val="009716E0"/>
    <w:rsid w:val="0098001D"/>
    <w:rsid w:val="00990A1A"/>
    <w:rsid w:val="009A4799"/>
    <w:rsid w:val="009A6165"/>
    <w:rsid w:val="009C2B05"/>
    <w:rsid w:val="009C7DEA"/>
    <w:rsid w:val="009D2624"/>
    <w:rsid w:val="009E20D1"/>
    <w:rsid w:val="009F150D"/>
    <w:rsid w:val="00A01595"/>
    <w:rsid w:val="00A047A9"/>
    <w:rsid w:val="00A20B42"/>
    <w:rsid w:val="00A21ED0"/>
    <w:rsid w:val="00A23FF6"/>
    <w:rsid w:val="00A31FBA"/>
    <w:rsid w:val="00A5254E"/>
    <w:rsid w:val="00A547B1"/>
    <w:rsid w:val="00A76A8A"/>
    <w:rsid w:val="00A8401E"/>
    <w:rsid w:val="00A900AB"/>
    <w:rsid w:val="00AB5D19"/>
    <w:rsid w:val="00AD62F8"/>
    <w:rsid w:val="00AE3048"/>
    <w:rsid w:val="00AE5523"/>
    <w:rsid w:val="00AE5AC7"/>
    <w:rsid w:val="00AF48AF"/>
    <w:rsid w:val="00B44673"/>
    <w:rsid w:val="00B51D08"/>
    <w:rsid w:val="00B53DDD"/>
    <w:rsid w:val="00B5612E"/>
    <w:rsid w:val="00B61E95"/>
    <w:rsid w:val="00B62D2D"/>
    <w:rsid w:val="00B71B51"/>
    <w:rsid w:val="00B76ED5"/>
    <w:rsid w:val="00B8614D"/>
    <w:rsid w:val="00BC7DDB"/>
    <w:rsid w:val="00BD018A"/>
    <w:rsid w:val="00BD7020"/>
    <w:rsid w:val="00BF64C5"/>
    <w:rsid w:val="00C10F1C"/>
    <w:rsid w:val="00C12D9F"/>
    <w:rsid w:val="00C173A7"/>
    <w:rsid w:val="00C47144"/>
    <w:rsid w:val="00C50405"/>
    <w:rsid w:val="00C90D97"/>
    <w:rsid w:val="00CC079E"/>
    <w:rsid w:val="00CF0EC8"/>
    <w:rsid w:val="00D02387"/>
    <w:rsid w:val="00D0286E"/>
    <w:rsid w:val="00D0338D"/>
    <w:rsid w:val="00D3645E"/>
    <w:rsid w:val="00D47BB0"/>
    <w:rsid w:val="00D50B65"/>
    <w:rsid w:val="00D548DC"/>
    <w:rsid w:val="00D63648"/>
    <w:rsid w:val="00D7479D"/>
    <w:rsid w:val="00DA18A7"/>
    <w:rsid w:val="00DB3E5B"/>
    <w:rsid w:val="00DB3F10"/>
    <w:rsid w:val="00DB5DC1"/>
    <w:rsid w:val="00DD16A5"/>
    <w:rsid w:val="00E1230D"/>
    <w:rsid w:val="00E22BDC"/>
    <w:rsid w:val="00E26764"/>
    <w:rsid w:val="00E841D7"/>
    <w:rsid w:val="00E962D6"/>
    <w:rsid w:val="00E9760A"/>
    <w:rsid w:val="00EA0293"/>
    <w:rsid w:val="00EA1E80"/>
    <w:rsid w:val="00EB2682"/>
    <w:rsid w:val="00EC5359"/>
    <w:rsid w:val="00ED0A63"/>
    <w:rsid w:val="00F00005"/>
    <w:rsid w:val="00F10AFD"/>
    <w:rsid w:val="00F1371C"/>
    <w:rsid w:val="00F27065"/>
    <w:rsid w:val="00F30265"/>
    <w:rsid w:val="00F40F5C"/>
    <w:rsid w:val="00F43353"/>
    <w:rsid w:val="00F60A1E"/>
    <w:rsid w:val="00F8353F"/>
    <w:rsid w:val="00F87833"/>
    <w:rsid w:val="00F90C88"/>
    <w:rsid w:val="00F96D55"/>
    <w:rsid w:val="00FD70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99FA8"/>
  <w15:chartTrackingRefBased/>
  <w15:docId w15:val="{B398CD29-805B-7D45-986D-D2C221BF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39639E"/>
    <w:rPr>
      <w:sz w:val="20"/>
      <w:szCs w:val="20"/>
    </w:rPr>
  </w:style>
  <w:style w:type="character" w:customStyle="1" w:styleId="FunotentextZchn">
    <w:name w:val="Fußnotentext Zchn"/>
    <w:basedOn w:val="Absatz-Standardschriftart"/>
    <w:link w:val="Funotentext"/>
    <w:uiPriority w:val="99"/>
    <w:semiHidden/>
    <w:rsid w:val="0039639E"/>
    <w:rPr>
      <w:sz w:val="20"/>
      <w:szCs w:val="20"/>
    </w:rPr>
  </w:style>
  <w:style w:type="character" w:styleId="Funotenzeichen">
    <w:name w:val="footnote reference"/>
    <w:basedOn w:val="Absatz-Standardschriftart"/>
    <w:uiPriority w:val="99"/>
    <w:semiHidden/>
    <w:unhideWhenUsed/>
    <w:rsid w:val="0039639E"/>
    <w:rPr>
      <w:vertAlign w:val="superscript"/>
    </w:rPr>
  </w:style>
  <w:style w:type="paragraph" w:styleId="Listenabsatz">
    <w:name w:val="List Paragraph"/>
    <w:basedOn w:val="Standard"/>
    <w:uiPriority w:val="34"/>
    <w:qFormat/>
    <w:rsid w:val="000B5A8D"/>
    <w:pPr>
      <w:ind w:left="720"/>
      <w:contextualSpacing/>
    </w:pPr>
  </w:style>
  <w:style w:type="paragraph" w:styleId="Sprechblasentext">
    <w:name w:val="Balloon Text"/>
    <w:basedOn w:val="Standard"/>
    <w:link w:val="SprechblasentextZchn"/>
    <w:uiPriority w:val="99"/>
    <w:semiHidden/>
    <w:unhideWhenUsed/>
    <w:rsid w:val="004F7468"/>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4F7468"/>
    <w:rPr>
      <w:rFonts w:ascii="Times New Roman" w:hAnsi="Times New Roman" w:cs="Times New Roman"/>
      <w:sz w:val="18"/>
      <w:szCs w:val="18"/>
    </w:rPr>
  </w:style>
  <w:style w:type="paragraph" w:styleId="Kopfzeile">
    <w:name w:val="header"/>
    <w:basedOn w:val="Standard"/>
    <w:link w:val="KopfzeileZchn"/>
    <w:uiPriority w:val="99"/>
    <w:unhideWhenUsed/>
    <w:rsid w:val="00D0286E"/>
    <w:pPr>
      <w:tabs>
        <w:tab w:val="center" w:pos="4536"/>
        <w:tab w:val="right" w:pos="9072"/>
      </w:tabs>
    </w:pPr>
  </w:style>
  <w:style w:type="character" w:customStyle="1" w:styleId="KopfzeileZchn">
    <w:name w:val="Kopfzeile Zchn"/>
    <w:basedOn w:val="Absatz-Standardschriftart"/>
    <w:link w:val="Kopfzeile"/>
    <w:uiPriority w:val="99"/>
    <w:rsid w:val="00D0286E"/>
  </w:style>
  <w:style w:type="paragraph" w:styleId="Fuzeile">
    <w:name w:val="footer"/>
    <w:basedOn w:val="Standard"/>
    <w:link w:val="FuzeileZchn"/>
    <w:uiPriority w:val="99"/>
    <w:unhideWhenUsed/>
    <w:rsid w:val="00D0286E"/>
    <w:pPr>
      <w:tabs>
        <w:tab w:val="center" w:pos="4536"/>
        <w:tab w:val="right" w:pos="9072"/>
      </w:tabs>
    </w:pPr>
  </w:style>
  <w:style w:type="character" w:customStyle="1" w:styleId="FuzeileZchn">
    <w:name w:val="Fußzeile Zchn"/>
    <w:basedOn w:val="Absatz-Standardschriftart"/>
    <w:link w:val="Fuzeile"/>
    <w:uiPriority w:val="99"/>
    <w:rsid w:val="00D028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landeskunde-b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751</Words>
  <Characters>4732</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Neidhardt</dc:creator>
  <cp:keywords/>
  <dc:description/>
  <cp:lastModifiedBy>Stefanie Neidhardt</cp:lastModifiedBy>
  <cp:revision>6</cp:revision>
  <cp:lastPrinted>2020-05-27T08:10:00Z</cp:lastPrinted>
  <dcterms:created xsi:type="dcterms:W3CDTF">2020-05-03T09:45:00Z</dcterms:created>
  <dcterms:modified xsi:type="dcterms:W3CDTF">2020-05-27T13:45:00Z</dcterms:modified>
</cp:coreProperties>
</file>