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C7" w:rsidRDefault="004C0BC7" w:rsidP="00642292">
      <w:pPr>
        <w:widowControl/>
        <w:tabs>
          <w:tab w:val="left" w:pos="5670"/>
          <w:tab w:val="right" w:pos="7372"/>
        </w:tabs>
        <w:autoSpaceDE/>
        <w:autoSpaceDN/>
        <w:adjustRightInd/>
        <w:spacing w:line="276" w:lineRule="auto"/>
        <w:rPr>
          <w:rFonts w:asciiTheme="minorHAnsi" w:hAnsiTheme="minorHAnsi" w:cs="Arial"/>
          <w:b/>
          <w:sz w:val="28"/>
          <w:szCs w:val="20"/>
        </w:rPr>
      </w:pPr>
    </w:p>
    <w:p w:rsidR="000F593D" w:rsidRPr="00B12D3C" w:rsidRDefault="00642292" w:rsidP="00642292">
      <w:pPr>
        <w:widowControl/>
        <w:tabs>
          <w:tab w:val="left" w:pos="5670"/>
          <w:tab w:val="right" w:pos="7372"/>
        </w:tabs>
        <w:autoSpaceDE/>
        <w:autoSpaceDN/>
        <w:adjustRightInd/>
        <w:spacing w:line="276" w:lineRule="auto"/>
        <w:rPr>
          <w:rFonts w:asciiTheme="minorHAnsi" w:hAnsiTheme="minorHAnsi" w:cs="Arial"/>
          <w:b/>
          <w:sz w:val="28"/>
          <w:szCs w:val="20"/>
        </w:rPr>
      </w:pPr>
      <w:r w:rsidRPr="00B12D3C">
        <w:rPr>
          <w:rFonts w:asciiTheme="minorHAnsi" w:hAnsiTheme="minorHAnsi" w:cs="Arial"/>
          <w:b/>
          <w:sz w:val="28"/>
          <w:szCs w:val="20"/>
        </w:rPr>
        <w:t>Lernsituation „</w:t>
      </w:r>
      <w:r w:rsidR="008B043B" w:rsidRPr="008B043B">
        <w:rPr>
          <w:rFonts w:asciiTheme="minorHAnsi" w:hAnsiTheme="minorHAnsi" w:cs="Arial"/>
          <w:b/>
          <w:sz w:val="28"/>
          <w:szCs w:val="20"/>
        </w:rPr>
        <w:t>Gesetzliche Aufbewahrungsfristen in der Buchführung berücksichtigen</w:t>
      </w:r>
      <w:r w:rsidRPr="00B12D3C">
        <w:rPr>
          <w:rFonts w:asciiTheme="minorHAnsi" w:hAnsiTheme="minorHAnsi" w:cs="Arial"/>
          <w:b/>
          <w:sz w:val="28"/>
          <w:szCs w:val="20"/>
        </w:rPr>
        <w:t>“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482664" w:rsidRPr="00482664" w:rsidRDefault="00482664" w:rsidP="0048266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  <w:b/>
        </w:rPr>
      </w:pPr>
      <w:r w:rsidRPr="00482664">
        <w:rPr>
          <w:rFonts w:asciiTheme="minorHAnsi" w:hAnsiTheme="minorHAnsi" w:cstheme="minorHAnsi"/>
          <w:b/>
        </w:rPr>
        <w:t>Didaktisch-methodische Hinweise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0F593D" w:rsidRPr="007574FB" w:rsidRDefault="000F593D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  <w:sz w:val="22"/>
        </w:rPr>
      </w:pPr>
      <w:r w:rsidRPr="007574FB">
        <w:rPr>
          <w:rFonts w:asciiTheme="minorHAnsi" w:hAnsiTheme="minorHAnsi" w:cstheme="minorHAnsi"/>
          <w:sz w:val="22"/>
        </w:rPr>
        <w:t>Auszug aus der Zielanalyse</w:t>
      </w:r>
      <w:r w:rsidR="00334E29">
        <w:rPr>
          <w:rFonts w:asciiTheme="minorHAnsi" w:hAnsiTheme="minorHAnsi" w:cstheme="minorHAnsi"/>
          <w:sz w:val="22"/>
        </w:rPr>
        <w:t xml:space="preserve"> Lernfeld 6 (Kaufmann für Büromanagement/Kauffrau für Büromanagement)</w:t>
      </w:r>
      <w:r w:rsidRPr="007574FB">
        <w:rPr>
          <w:rFonts w:asciiTheme="minorHAnsi" w:hAnsiTheme="minorHAnsi" w:cstheme="minorHAnsi"/>
          <w:sz w:val="22"/>
        </w:rPr>
        <w:t>:</w:t>
      </w:r>
    </w:p>
    <w:p w:rsidR="00482664" w:rsidRP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  <w:sz w:val="8"/>
        </w:rPr>
      </w:pPr>
    </w:p>
    <w:p w:rsidR="000F593D" w:rsidRPr="00780E06" w:rsidRDefault="000F593D" w:rsidP="000F593D">
      <w:pPr>
        <w:widowControl/>
        <w:tabs>
          <w:tab w:val="left" w:pos="6096"/>
        </w:tabs>
        <w:autoSpaceDE/>
        <w:autoSpaceDN/>
        <w:adjustRightInd/>
        <w:rPr>
          <w:rFonts w:ascii="Times New Roman" w:hAnsi="Times New Roman" w:cs="Arial"/>
          <w:color w:val="FF0000"/>
          <w:sz w:val="12"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2"/>
        <w:gridCol w:w="2096"/>
        <w:gridCol w:w="1561"/>
        <w:gridCol w:w="1419"/>
        <w:gridCol w:w="1556"/>
        <w:gridCol w:w="994"/>
        <w:gridCol w:w="850"/>
      </w:tblGrid>
      <w:tr w:rsidR="008B043B" w:rsidRPr="00780E06" w:rsidTr="008B043B">
        <w:trPr>
          <w:trHeight w:val="32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82664">
              <w:rPr>
                <w:rFonts w:asciiTheme="minorHAnsi" w:hAnsiTheme="minorHAnsi" w:cstheme="minorHAnsi"/>
                <w:b/>
                <w:sz w:val="22"/>
                <w:szCs w:val="22"/>
              </w:rPr>
              <w:t>Didaktisch-methodische Analyse</w:t>
            </w:r>
          </w:p>
        </w:tc>
      </w:tr>
      <w:tr w:rsidR="008B043B" w:rsidRPr="00780E06" w:rsidTr="00182F52">
        <w:trPr>
          <w:trHeight w:val="267"/>
          <w:tblHeader/>
        </w:trPr>
        <w:tc>
          <w:tcPr>
            <w:tcW w:w="932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kompetenzbasierte Ziele</w:t>
            </w:r>
          </w:p>
        </w:tc>
        <w:tc>
          <w:tcPr>
            <w:tcW w:w="1006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Lernsituation</w:t>
            </w:r>
          </w:p>
        </w:tc>
        <w:tc>
          <w:tcPr>
            <w:tcW w:w="749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Handlungs</w:t>
            </w: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ergebnis</w:t>
            </w:r>
          </w:p>
        </w:tc>
        <w:tc>
          <w:tcPr>
            <w:tcW w:w="68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überfachliche </w:t>
            </w: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Kompetenzen</w:t>
            </w:r>
          </w:p>
        </w:tc>
        <w:tc>
          <w:tcPr>
            <w:tcW w:w="74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method.-didakt. Hinweise</w:t>
            </w:r>
          </w:p>
        </w:tc>
        <w:tc>
          <w:tcPr>
            <w:tcW w:w="47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Zeit</w:t>
            </w:r>
          </w:p>
        </w:tc>
        <w:tc>
          <w:tcPr>
            <w:tcW w:w="408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Kooperation</w:t>
            </w:r>
          </w:p>
          <w:p w:rsidR="008B043B" w:rsidRPr="00482664" w:rsidRDefault="008B043B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82664">
              <w:rPr>
                <w:rFonts w:asciiTheme="minorHAnsi" w:hAnsiTheme="minorHAnsi" w:cstheme="minorHAnsi"/>
                <w:b/>
                <w:sz w:val="16"/>
                <w:szCs w:val="16"/>
              </w:rPr>
              <w:t>Hinweise</w:t>
            </w:r>
          </w:p>
        </w:tc>
      </w:tr>
      <w:tr w:rsidR="008B043B" w:rsidRPr="00780E06" w:rsidTr="00182F52">
        <w:trPr>
          <w:trHeight w:val="915"/>
        </w:trPr>
        <w:tc>
          <w:tcPr>
            <w:tcW w:w="932" w:type="pct"/>
            <w:tcBorders>
              <w:top w:val="single" w:sz="18" w:space="0" w:color="auto"/>
            </w:tcBorders>
            <w:shd w:val="clear" w:color="auto" w:fill="auto"/>
          </w:tcPr>
          <w:p w:rsidR="008B043B" w:rsidRPr="008B043B" w:rsidRDefault="008B043B" w:rsidP="008B043B">
            <w:pPr>
              <w:widowControl/>
              <w:autoSpaceDE/>
              <w:autoSpaceDN/>
              <w:adjustRightInd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 xml:space="preserve">[…] </w:t>
            </w:r>
          </w:p>
          <w:p w:rsidR="008B043B" w:rsidRPr="00334E29" w:rsidRDefault="008B043B" w:rsidP="008B043B">
            <w:pPr>
              <w:widowControl/>
              <w:autoSpaceDE/>
              <w:autoSpaceDN/>
              <w:adjustRightInd/>
              <w:spacing w:after="20"/>
              <w:rPr>
                <w:rFonts w:asciiTheme="minorHAnsi" w:hAnsiTheme="minorHAnsi" w:cstheme="minorHAnsi"/>
                <w:sz w:val="20"/>
                <w:szCs w:val="22"/>
              </w:rPr>
            </w:pPr>
          </w:p>
          <w:p w:rsidR="008B043B" w:rsidRPr="008B043B" w:rsidRDefault="008B043B" w:rsidP="008B043B">
            <w:pPr>
              <w:widowControl/>
              <w:autoSpaceDE/>
              <w:autoSpaceDN/>
              <w:adjustRightInd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Sie informieren sich über die rechtlichen Anforderungen an eine ordnungsgemäße Buchführung (</w:t>
            </w:r>
            <w:r w:rsidRPr="008B043B">
              <w:rPr>
                <w:rFonts w:asciiTheme="minorHAnsi" w:hAnsiTheme="minorHAnsi" w:cstheme="minorHAnsi"/>
                <w:i/>
                <w:sz w:val="22"/>
                <w:szCs w:val="22"/>
              </w:rPr>
              <w:t>Handelsgesetzbuch, Abgabenordnung, Umsatzsteuergesetz</w:t>
            </w: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8B043B" w:rsidRPr="008B043B" w:rsidRDefault="008B043B" w:rsidP="008B043B">
            <w:pPr>
              <w:widowControl/>
              <w:autoSpaceDE/>
              <w:autoSpaceDN/>
              <w:adjustRightInd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autoSpaceDE/>
              <w:autoSpaceDN/>
              <w:adjustRightInd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  <w:tc>
          <w:tcPr>
            <w:tcW w:w="1006" w:type="pct"/>
            <w:tcBorders>
              <w:top w:val="single" w:sz="18" w:space="0" w:color="auto"/>
            </w:tcBorders>
            <w:shd w:val="clear" w:color="auto" w:fill="auto"/>
          </w:tcPr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LS </w:t>
            </w: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Gesetzliche Aufbewahrungsfristen in der Buchführung berücksichtigen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P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749" w:type="pct"/>
            <w:tcBorders>
              <w:top w:val="single" w:sz="18" w:space="0" w:color="auto"/>
            </w:tcBorders>
            <w:shd w:val="clear" w:color="auto" w:fill="auto"/>
          </w:tcPr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Mitarbeiterhandbuchseite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Entscheidungsblatt 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P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single" w:sz="18" w:space="0" w:color="auto"/>
            </w:tcBorders>
            <w:shd w:val="clear" w:color="auto" w:fill="auto"/>
          </w:tcPr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Informationen strukturieren</w:t>
            </w: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Verständnisfragen stellen</w:t>
            </w: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Gesetzestexte anwenden</w:t>
            </w: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Entscheidungen treffen </w:t>
            </w: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P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747" w:type="pct"/>
            <w:tcBorders>
              <w:top w:val="single" w:sz="18" w:space="0" w:color="auto"/>
            </w:tcBorders>
            <w:shd w:val="clear" w:color="auto" w:fill="auto"/>
          </w:tcPr>
          <w:p w:rsid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182F52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Anwendung von </w:t>
            </w:r>
            <w:r w:rsidR="00334E29">
              <w:rPr>
                <w:rFonts w:asciiTheme="minorHAnsi" w:hAnsiTheme="minorHAnsi" w:cstheme="minorHAnsi"/>
                <w:sz w:val="22"/>
                <w:szCs w:val="22"/>
              </w:rPr>
              <w:t>Lesestrategien</w:t>
            </w: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A5BD3" w:rsidRDefault="00CA5BD3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P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… </w:t>
            </w:r>
          </w:p>
        </w:tc>
        <w:tc>
          <w:tcPr>
            <w:tcW w:w="477" w:type="pct"/>
            <w:tcBorders>
              <w:top w:val="single" w:sz="18" w:space="0" w:color="auto"/>
            </w:tcBorders>
            <w:shd w:val="clear" w:color="auto" w:fill="auto"/>
          </w:tcPr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 xml:space="preserve">ca. 1 </w:t>
            </w:r>
          </w:p>
          <w:p w:rsidR="00334E29" w:rsidRDefault="008B043B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 xml:space="preserve">bis </w:t>
            </w:r>
            <w:r w:rsidR="00334E2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B043B">
              <w:rPr>
                <w:rFonts w:asciiTheme="minorHAnsi" w:hAnsiTheme="minorHAnsi" w:cstheme="minorHAnsi"/>
                <w:sz w:val="22"/>
                <w:szCs w:val="22"/>
              </w:rPr>
              <w:t xml:space="preserve"> Std.</w:t>
            </w: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A5BD3" w:rsidRDefault="00CA5BD3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334E29" w:rsidP="00334E29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8B043B" w:rsidRPr="008B04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08" w:type="pct"/>
            <w:tcBorders>
              <w:top w:val="single" w:sz="18" w:space="0" w:color="auto"/>
            </w:tcBorders>
            <w:shd w:val="clear" w:color="auto" w:fill="auto"/>
          </w:tcPr>
          <w:p w:rsidR="008B043B" w:rsidRP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P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43B" w:rsidRDefault="008B043B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E29" w:rsidRPr="008B043B" w:rsidRDefault="00334E29" w:rsidP="008B043B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</w:tbl>
    <w:p w:rsidR="000F593D" w:rsidRDefault="000F593D"/>
    <w:p w:rsidR="00334E29" w:rsidRPr="00CA5BD3" w:rsidRDefault="00CA5BD3">
      <w:pPr>
        <w:rPr>
          <w:rFonts w:asciiTheme="minorHAnsi" w:hAnsiTheme="minorHAnsi" w:cstheme="minorHAnsi"/>
          <w:sz w:val="22"/>
        </w:rPr>
      </w:pPr>
      <w:r w:rsidRPr="00CA5BD3">
        <w:rPr>
          <w:rFonts w:asciiTheme="minorHAnsi" w:hAnsiTheme="minorHAnsi" w:cstheme="minorHAnsi"/>
          <w:sz w:val="22"/>
        </w:rPr>
        <w:t>Mit</w:t>
      </w:r>
      <w:r w:rsidR="00334E29" w:rsidRPr="00CA5BD3">
        <w:rPr>
          <w:rFonts w:asciiTheme="minorHAnsi" w:hAnsiTheme="minorHAnsi" w:cstheme="minorHAnsi"/>
          <w:sz w:val="22"/>
        </w:rPr>
        <w:t xml:space="preserve"> dieser Lernsituation </w:t>
      </w:r>
      <w:r w:rsidRPr="00CA5BD3">
        <w:rPr>
          <w:rFonts w:asciiTheme="minorHAnsi" w:hAnsiTheme="minorHAnsi" w:cstheme="minorHAnsi"/>
          <w:sz w:val="22"/>
        </w:rPr>
        <w:t xml:space="preserve">wird das Anwenden von Lesestrategien geübt. </w:t>
      </w:r>
    </w:p>
    <w:p w:rsidR="00334E29" w:rsidRDefault="00334E29"/>
    <w:p w:rsidR="00334E29" w:rsidRDefault="00334E29"/>
    <w:p w:rsidR="00334E29" w:rsidRPr="00334E29" w:rsidRDefault="00334E29" w:rsidP="00334E29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334E29">
        <w:rPr>
          <w:rFonts w:asciiTheme="minorHAnsi" w:hAnsiTheme="minorHAnsi" w:cstheme="minorHAnsi"/>
          <w:b/>
          <w:sz w:val="22"/>
          <w:szCs w:val="22"/>
        </w:rPr>
        <w:t>Aktivierung und Hinführung</w:t>
      </w:r>
    </w:p>
    <w:p w:rsidR="00334E29" w:rsidRPr="00334E29" w:rsidRDefault="00334E29" w:rsidP="00334E29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 w:rsidRPr="00334E29">
        <w:rPr>
          <w:rFonts w:asciiTheme="minorHAnsi" w:hAnsiTheme="minorHAnsi" w:cstheme="minorHAnsi"/>
          <w:sz w:val="22"/>
          <w:szCs w:val="22"/>
        </w:rPr>
        <w:t xml:space="preserve">Konfrontation/Motivation durch Vorstellung der Situation mittels Dokumentenkamera (die Lernsituation selbst wird den </w:t>
      </w:r>
      <w:r w:rsidR="00CA5BD3">
        <w:rPr>
          <w:rFonts w:asciiTheme="minorHAnsi" w:hAnsiTheme="minorHAnsi" w:cstheme="minorHAnsi"/>
          <w:sz w:val="22"/>
          <w:szCs w:val="22"/>
        </w:rPr>
        <w:t>Schülerinnen und Schülern</w:t>
      </w:r>
      <w:r w:rsidRPr="00334E29">
        <w:rPr>
          <w:rFonts w:asciiTheme="minorHAnsi" w:hAnsiTheme="minorHAnsi" w:cstheme="minorHAnsi"/>
          <w:sz w:val="22"/>
          <w:szCs w:val="22"/>
        </w:rPr>
        <w:t xml:space="preserve"> noch nicht ausgeteilt, sie erhalten diese erst im Anschluss). </w:t>
      </w:r>
    </w:p>
    <w:p w:rsidR="00334E29" w:rsidRDefault="00334E29" w:rsidP="00334E29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 w:rsidRPr="00334E29">
        <w:rPr>
          <w:rFonts w:asciiTheme="minorHAnsi" w:hAnsiTheme="minorHAnsi" w:cstheme="minorHAnsi"/>
          <w:sz w:val="22"/>
          <w:szCs w:val="22"/>
        </w:rPr>
        <w:t xml:space="preserve">Das Vorwissen der </w:t>
      </w:r>
      <w:r w:rsidR="00CA5BD3">
        <w:rPr>
          <w:rFonts w:asciiTheme="minorHAnsi" w:hAnsiTheme="minorHAnsi" w:cstheme="minorHAnsi"/>
          <w:sz w:val="22"/>
          <w:szCs w:val="22"/>
        </w:rPr>
        <w:t>Schülerinnen und Schüler</w:t>
      </w:r>
      <w:r w:rsidRPr="00334E29">
        <w:rPr>
          <w:rFonts w:asciiTheme="minorHAnsi" w:hAnsiTheme="minorHAnsi" w:cstheme="minorHAnsi"/>
          <w:sz w:val="22"/>
          <w:szCs w:val="22"/>
        </w:rPr>
        <w:t xml:space="preserve"> zum Thema wird durch ein Brainstorming im Lehrer-Schüler-Gespräch aktiviert, die Nennungen werden an der Tafel gesammelt. </w:t>
      </w:r>
    </w:p>
    <w:p w:rsidR="00CA5BD3" w:rsidRDefault="00CA5BD3" w:rsidP="00334E29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</w:p>
    <w:p w:rsidR="00CA5BD3" w:rsidRPr="00CA5BD3" w:rsidRDefault="00CA5BD3" w:rsidP="00334E29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CA5BD3">
        <w:rPr>
          <w:rFonts w:asciiTheme="minorHAnsi" w:hAnsiTheme="minorHAnsi" w:cstheme="minorHAnsi"/>
          <w:b/>
          <w:sz w:val="22"/>
          <w:szCs w:val="22"/>
        </w:rPr>
        <w:t>Arbeit am Text, Anwendung von Lesestrategien</w:t>
      </w:r>
    </w:p>
    <w:p w:rsidR="00CA5BD3" w:rsidRPr="00CA5BD3" w:rsidRDefault="00CA5BD3" w:rsidP="00CA5BD3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CA5BD3">
        <w:rPr>
          <w:rFonts w:asciiTheme="minorHAnsi" w:hAnsiTheme="minorHAnsi" w:cstheme="minorHAnsi"/>
          <w:sz w:val="22"/>
          <w:szCs w:val="22"/>
        </w:rPr>
        <w:t xml:space="preserve">Die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erstellen in dieser Lernsituation als Handlungsergebnis im ersten Auftrag ein Kapitel über die gesetzlichen Aufbewahrungsfristen in der Buchführung. Die hierfür notwendigen Informationen müssen die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aus zwei Paragrafen herauslesen. Der Arbeitsauftrag ist so formuliert, dass die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zunächst die Lesestrategie „Fragen an den Text stellen“ anwenden und erst anschließend das Kapitel für das Mitarbeiterhandbuch verfassen. </w:t>
      </w:r>
    </w:p>
    <w:p w:rsidR="00CA5BD3" w:rsidRDefault="00CA5BD3" w:rsidP="00CA5BD3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CA5BD3">
        <w:rPr>
          <w:rFonts w:asciiTheme="minorHAnsi" w:hAnsiTheme="minorHAnsi" w:cstheme="minorHAnsi"/>
          <w:sz w:val="22"/>
          <w:szCs w:val="22"/>
        </w:rPr>
        <w:t xml:space="preserve">Im Anschluss an die Erstellung der Mitarbeiterhandbuchseite kontrollieren und bewerten die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sowohl das Handlungsergebnis als auch den Handlungsverlauf. Zur Kontrolle und Bewertung der Mitarbeiterhandbuchseiten präsentieren drei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ihre Ergebnisse unter der Dokumentenkamera; das Plenum gibt den Präsentierenden ein Feedback hinsichtlich inhaltlicher Richtigkeit und Vollständigkeit sowie hinsichtlich der Gestaltung der Seiten. Ggf. nehmen die Präsentierenden und/oder das Plenum Korrekturen und Ergänzungen vor. </w:t>
      </w:r>
    </w:p>
    <w:p w:rsidR="004C0BC7" w:rsidRPr="00CA5BD3" w:rsidRDefault="004C0BC7" w:rsidP="00CA5BD3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CA5BD3" w:rsidRDefault="00CA5BD3" w:rsidP="00CA5BD3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CA5BD3">
        <w:rPr>
          <w:rFonts w:asciiTheme="minorHAnsi" w:hAnsiTheme="minorHAnsi" w:cstheme="minorHAnsi"/>
          <w:sz w:val="22"/>
          <w:szCs w:val="22"/>
        </w:rPr>
        <w:lastRenderedPageBreak/>
        <w:t xml:space="preserve">Binnendifferenzierung: Es ist zu erwarten, dass die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unterschiedlich lange für das Bearbeiten der Paragrafen und die Erstellung der Mitarbeiterhandbuchseite brauchen werden.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die schneller fertig sind, bearbeiten deshalb (nach Aufforderung durch die Lehrkraft) Zusatzaufgaben. </w:t>
      </w:r>
    </w:p>
    <w:p w:rsidR="00CA5BD3" w:rsidRPr="00CA5BD3" w:rsidRDefault="00CA5BD3" w:rsidP="00CA5BD3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CA5BD3">
        <w:rPr>
          <w:rFonts w:asciiTheme="minorHAnsi" w:hAnsiTheme="minorHAnsi" w:cstheme="minorHAnsi"/>
          <w:sz w:val="22"/>
          <w:szCs w:val="22"/>
        </w:rPr>
        <w:t xml:space="preserve">Hierbei kommt in der ersten Übungsaufgabe die Lesestrategie „Fragen zum Text beantworten“ in der Übungsform einer „Richtig-Falsch-Aufgabe“ zum Einsatz. Die Aufgabe bezieht die Thematik der Grundsätze ordnungsmäßiger Buchführung (GoB) mit ein; </w:t>
      </w:r>
      <w:r>
        <w:rPr>
          <w:rFonts w:asciiTheme="minorHAnsi" w:hAnsiTheme="minorHAnsi" w:cstheme="minorHAnsi"/>
          <w:sz w:val="22"/>
          <w:szCs w:val="22"/>
        </w:rPr>
        <w:t xml:space="preserve">mit </w:t>
      </w:r>
      <w:r w:rsidRPr="00CA5BD3">
        <w:rPr>
          <w:rFonts w:asciiTheme="minorHAnsi" w:hAnsiTheme="minorHAnsi" w:cstheme="minorHAnsi"/>
          <w:sz w:val="22"/>
          <w:szCs w:val="22"/>
        </w:rPr>
        <w:t>diese</w:t>
      </w:r>
      <w:r>
        <w:rPr>
          <w:rFonts w:asciiTheme="minorHAnsi" w:hAnsiTheme="minorHAnsi" w:cstheme="minorHAnsi"/>
          <w:sz w:val="22"/>
          <w:szCs w:val="22"/>
        </w:rPr>
        <w:t>r</w:t>
      </w:r>
      <w:r w:rsidRPr="00CA5BD3">
        <w:rPr>
          <w:rFonts w:asciiTheme="minorHAnsi" w:hAnsiTheme="minorHAnsi" w:cstheme="minorHAnsi"/>
          <w:sz w:val="22"/>
          <w:szCs w:val="22"/>
        </w:rPr>
        <w:t xml:space="preserve"> Thematik </w:t>
      </w:r>
      <w:r>
        <w:rPr>
          <w:rFonts w:asciiTheme="minorHAnsi" w:hAnsiTheme="minorHAnsi" w:cstheme="minorHAnsi"/>
          <w:sz w:val="22"/>
          <w:szCs w:val="22"/>
        </w:rPr>
        <w:t>wurde die Schülerinnen und Schüler bereits in einer Vorstunde konfrontiert</w:t>
      </w:r>
      <w:r w:rsidRPr="00CA5BD3">
        <w:rPr>
          <w:rFonts w:asciiTheme="minorHAnsi" w:hAnsiTheme="minorHAnsi" w:cstheme="minorHAnsi"/>
          <w:sz w:val="22"/>
          <w:szCs w:val="22"/>
        </w:rPr>
        <w:t xml:space="preserve">. In der zweiten Übungsaufgabe nehmen die </w:t>
      </w:r>
      <w:r>
        <w:rPr>
          <w:rFonts w:asciiTheme="minorHAnsi" w:hAnsiTheme="minorHAnsi" w:cstheme="minorHAnsi"/>
          <w:sz w:val="22"/>
          <w:szCs w:val="22"/>
        </w:rPr>
        <w:t>Schülerinnen und Schüler</w:t>
      </w:r>
      <w:r w:rsidRPr="00CA5BD3">
        <w:rPr>
          <w:rFonts w:asciiTheme="minorHAnsi" w:hAnsiTheme="minorHAnsi" w:cstheme="minorHAnsi"/>
          <w:sz w:val="22"/>
          <w:szCs w:val="22"/>
        </w:rPr>
        <w:t xml:space="preserve"> eine Korrektur der falschen Aussagen vor.</w:t>
      </w:r>
    </w:p>
    <w:p w:rsidR="00CA5BD3" w:rsidRDefault="00CA5BD3" w:rsidP="00334E29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</w:p>
    <w:p w:rsidR="0011445E" w:rsidRPr="0011445E" w:rsidRDefault="0011445E" w:rsidP="0011445E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11445E">
        <w:rPr>
          <w:rFonts w:asciiTheme="minorHAnsi" w:hAnsiTheme="minorHAnsi" w:cstheme="minorHAnsi"/>
          <w:b/>
          <w:sz w:val="22"/>
          <w:szCs w:val="22"/>
        </w:rPr>
        <w:t>Anschluss und Transfer</w:t>
      </w:r>
    </w:p>
    <w:p w:rsidR="0011445E" w:rsidRPr="0011445E" w:rsidRDefault="0011445E" w:rsidP="0011445E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 w:rsidRPr="0011445E">
        <w:rPr>
          <w:rFonts w:asciiTheme="minorHAnsi" w:hAnsiTheme="minorHAnsi" w:cstheme="minorHAnsi"/>
          <w:sz w:val="22"/>
          <w:szCs w:val="22"/>
        </w:rPr>
        <w:t xml:space="preserve">Im zweiten Auftrag der Lernsituation wenden die </w:t>
      </w:r>
      <w:r>
        <w:rPr>
          <w:rFonts w:asciiTheme="minorHAnsi" w:hAnsiTheme="minorHAnsi" w:cstheme="minorHAnsi"/>
          <w:sz w:val="22"/>
          <w:szCs w:val="22"/>
        </w:rPr>
        <w:t xml:space="preserve">Schülerinnen und Schüler </w:t>
      </w:r>
      <w:r w:rsidRPr="0011445E">
        <w:rPr>
          <w:rFonts w:asciiTheme="minorHAnsi" w:hAnsiTheme="minorHAnsi" w:cstheme="minorHAnsi"/>
          <w:sz w:val="22"/>
          <w:szCs w:val="22"/>
        </w:rPr>
        <w:t>das Gelesene an und entscheiden, ob bestimmte Dokumente vernichtet werden können.</w:t>
      </w:r>
    </w:p>
    <w:p w:rsidR="0011445E" w:rsidRPr="0011445E" w:rsidRDefault="0011445E" w:rsidP="0011445E">
      <w:pPr>
        <w:widowControl/>
        <w:autoSpaceDE/>
        <w:autoSpaceDN/>
        <w:adjustRightInd/>
        <w:spacing w:before="120" w:after="120" w:line="259" w:lineRule="auto"/>
        <w:rPr>
          <w:rFonts w:asciiTheme="minorHAnsi" w:hAnsiTheme="minorHAnsi" w:cstheme="minorHAnsi"/>
          <w:sz w:val="22"/>
          <w:szCs w:val="22"/>
        </w:rPr>
      </w:pPr>
      <w:r w:rsidRPr="0011445E">
        <w:rPr>
          <w:rFonts w:asciiTheme="minorHAnsi" w:hAnsiTheme="minorHAnsi" w:cstheme="minorHAnsi"/>
          <w:sz w:val="22"/>
          <w:szCs w:val="22"/>
        </w:rPr>
        <w:t xml:space="preserve">Im Anschluss an die eigentliche Lernsituation erfolgt eine weitere Übung. Die </w:t>
      </w:r>
      <w:r>
        <w:rPr>
          <w:rFonts w:asciiTheme="minorHAnsi" w:hAnsiTheme="minorHAnsi" w:cstheme="minorHAnsi"/>
          <w:sz w:val="22"/>
          <w:szCs w:val="22"/>
        </w:rPr>
        <w:t xml:space="preserve">Schülerinnen und Schüler </w:t>
      </w:r>
      <w:r w:rsidRPr="0011445E">
        <w:rPr>
          <w:rFonts w:asciiTheme="minorHAnsi" w:hAnsiTheme="minorHAnsi" w:cstheme="minorHAnsi"/>
          <w:sz w:val="22"/>
          <w:szCs w:val="22"/>
        </w:rPr>
        <w:t>führen mittels</w:t>
      </w:r>
      <w:r>
        <w:rPr>
          <w:rFonts w:asciiTheme="minorHAnsi" w:hAnsiTheme="minorHAnsi" w:cstheme="minorHAnsi"/>
          <w:sz w:val="22"/>
          <w:szCs w:val="22"/>
        </w:rPr>
        <w:t xml:space="preserve"> mobilem Endgerät</w:t>
      </w:r>
      <w:r w:rsidRPr="0011445E">
        <w:rPr>
          <w:rFonts w:asciiTheme="minorHAnsi" w:hAnsiTheme="minorHAnsi" w:cstheme="minorHAnsi"/>
          <w:sz w:val="22"/>
          <w:szCs w:val="22"/>
        </w:rPr>
        <w:t xml:space="preserve"> oder am PC eine interaktive Übung </w:t>
      </w:r>
      <w:r w:rsidR="00D422BC">
        <w:rPr>
          <w:rFonts w:asciiTheme="minorHAnsi" w:hAnsiTheme="minorHAnsi" w:cstheme="minorHAnsi"/>
          <w:sz w:val="22"/>
          <w:szCs w:val="22"/>
        </w:rPr>
        <w:t xml:space="preserve">zum Text- und Paragrafenverständnis </w:t>
      </w:r>
      <w:r w:rsidRPr="0011445E">
        <w:rPr>
          <w:rFonts w:asciiTheme="minorHAnsi" w:hAnsiTheme="minorHAnsi" w:cstheme="minorHAnsi"/>
          <w:sz w:val="22"/>
          <w:szCs w:val="22"/>
        </w:rPr>
        <w:t>durch.</w:t>
      </w:r>
    </w:p>
    <w:p w:rsidR="00D422BC" w:rsidRDefault="00D422BC" w:rsidP="00D422BC">
      <w:pPr>
        <w:tabs>
          <w:tab w:val="left" w:pos="8868"/>
        </w:tabs>
        <w:rPr>
          <w:rFonts w:asciiTheme="minorHAnsi" w:hAnsiTheme="minorHAnsi" w:cstheme="minorHAnsi"/>
          <w:sz w:val="22"/>
          <w:szCs w:val="22"/>
        </w:rPr>
      </w:pPr>
    </w:p>
    <w:p w:rsidR="00D422BC" w:rsidRPr="00FD6DC3" w:rsidRDefault="00D422BC" w:rsidP="00D422BC">
      <w:pPr>
        <w:tabs>
          <w:tab w:val="left" w:pos="8868"/>
        </w:tabs>
        <w:rPr>
          <w:sz w:val="8"/>
        </w:rPr>
      </w:pPr>
    </w:p>
    <w:p w:rsidR="00D422BC" w:rsidRDefault="00D422BC" w:rsidP="00D422BC">
      <w:pPr>
        <w:rPr>
          <w:rFonts w:asciiTheme="minorHAnsi" w:hAnsiTheme="minorHAnsi" w:cstheme="minorHAnsi"/>
        </w:rPr>
      </w:pPr>
      <w:r w:rsidRPr="00A726E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6A5D950C" wp14:editId="232BD596">
            <wp:simplePos x="0" y="0"/>
            <wp:positionH relativeFrom="column">
              <wp:posOffset>-87630</wp:posOffset>
            </wp:positionH>
            <wp:positionV relativeFrom="paragraph">
              <wp:posOffset>147955</wp:posOffset>
            </wp:positionV>
            <wp:extent cx="1303020" cy="1303020"/>
            <wp:effectExtent l="0" t="0" r="0" b="0"/>
            <wp:wrapTight wrapText="bothSides">
              <wp:wrapPolygon edited="0">
                <wp:start x="0" y="0"/>
                <wp:lineTo x="0" y="21158"/>
                <wp:lineTo x="21158" y="21158"/>
                <wp:lineTo x="21158" y="0"/>
                <wp:lineTo x="0" y="0"/>
              </wp:wrapPolygon>
            </wp:wrapTight>
            <wp:docPr id="6" name="Grafik 6" descr="C:\Users\susan\Downloads\fram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an\Downloads\frame(4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22BC" w:rsidRDefault="00D422BC" w:rsidP="00D422BC">
      <w:pPr>
        <w:rPr>
          <w:rFonts w:asciiTheme="minorHAnsi" w:hAnsiTheme="minorHAnsi" w:cstheme="minorHAnsi"/>
        </w:rPr>
      </w:pPr>
      <w:hyperlink r:id="rId9" w:history="1">
        <w:r w:rsidRPr="00CF706D">
          <w:rPr>
            <w:rStyle w:val="Hyperlink"/>
            <w:rFonts w:asciiTheme="minorHAnsi" w:hAnsiTheme="minorHAnsi" w:cstheme="minorHAnsi"/>
          </w:rPr>
          <w:t>www.schule-bw.de/faecher-und-schularten/berufliche-bildung/wirtschaft/unterrichtsentwuerfe-und-materialien/rechnungswesen/buchfuehrung/index-3.html</w:t>
        </w:r>
      </w:hyperlink>
      <w:r>
        <w:rPr>
          <w:rFonts w:asciiTheme="minorHAnsi" w:hAnsiTheme="minorHAnsi" w:cstheme="minorHAnsi"/>
        </w:rPr>
        <w:t xml:space="preserve"> </w:t>
      </w:r>
    </w:p>
    <w:p w:rsidR="00334E29" w:rsidRPr="00CA5BD3" w:rsidRDefault="00334E29" w:rsidP="00334E29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:rsidR="00334E29" w:rsidRPr="00CA5BD3" w:rsidRDefault="00334E29" w:rsidP="00334E29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334E29" w:rsidRPr="00CA5BD3" w:rsidSect="009B52F2">
      <w:headerReference w:type="default" r:id="rId10"/>
      <w:footerReference w:type="default" r:id="rId11"/>
      <w:pgSz w:w="11906" w:h="16838"/>
      <w:pgMar w:top="851" w:right="851" w:bottom="737" w:left="851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977" w:rsidRDefault="000F7977" w:rsidP="009B52F2">
      <w:r>
        <w:separator/>
      </w:r>
    </w:p>
  </w:endnote>
  <w:endnote w:type="continuationSeparator" w:id="0">
    <w:p w:rsidR="000F7977" w:rsidRDefault="000F7977" w:rsidP="009B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C46" w:rsidRDefault="00E80C46" w:rsidP="00E80C46">
    <w:pPr>
      <w:pStyle w:val="Fuzeile"/>
      <w:tabs>
        <w:tab w:val="clear" w:pos="4536"/>
        <w:tab w:val="clear" w:pos="9072"/>
        <w:tab w:val="left" w:pos="355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1F2DCA92" wp14:editId="3AC1019B">
          <wp:simplePos x="0" y="0"/>
          <wp:positionH relativeFrom="column">
            <wp:posOffset>-44450</wp:posOffset>
          </wp:positionH>
          <wp:positionV relativeFrom="paragraph">
            <wp:posOffset>-176530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  <w:t xml:space="preserve">        </w:t>
    </w:r>
    <w:r w:rsidRPr="007652FC">
      <w:rPr>
        <w:rFonts w:asciiTheme="minorHAnsi" w:hAnsiTheme="minorHAnsi"/>
        <w:sz w:val="18"/>
      </w:rPr>
      <w:t>www.wirtschaftskompetenz-bw.de</w:t>
    </w:r>
  </w:p>
  <w:p w:rsidR="009B52F2" w:rsidRDefault="009B52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977" w:rsidRDefault="000F7977" w:rsidP="009B52F2">
      <w:r>
        <w:separator/>
      </w:r>
    </w:p>
  </w:footnote>
  <w:footnote w:type="continuationSeparator" w:id="0">
    <w:p w:rsidR="000F7977" w:rsidRDefault="000F7977" w:rsidP="009B5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2443356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4C0BC7" w:rsidRDefault="004C0BC7" w:rsidP="004C0BC7">
        <w:pPr>
          <w:pStyle w:val="Kopfzeile"/>
          <w:tabs>
            <w:tab w:val="clear" w:pos="9072"/>
            <w:tab w:val="right" w:pos="10204"/>
          </w:tabs>
          <w:rPr>
            <w:rFonts w:asciiTheme="minorHAnsi" w:hAnsiTheme="minorHAnsi" w:cstheme="minorHAnsi"/>
            <w:sz w:val="22"/>
            <w:u w:val="single"/>
          </w:rPr>
        </w:pPr>
        <w:r w:rsidRPr="00C1787D">
          <w:rPr>
            <w:rFonts w:asciiTheme="minorHAnsi" w:hAnsiTheme="minorHAnsi" w:cstheme="minorHAnsi"/>
            <w:sz w:val="22"/>
            <w:u w:val="single"/>
          </w:rPr>
          <w:t xml:space="preserve">WBM </w:t>
        </w:r>
        <w:r w:rsidRPr="00C1787D">
          <w:rPr>
            <w:u w:val="single"/>
          </w:rPr>
          <w:tab/>
        </w:r>
        <w:r w:rsidRPr="00C1787D">
          <w:rPr>
            <w:u w:val="single"/>
          </w:rPr>
          <w:tab/>
        </w:r>
        <w:r w:rsidRPr="00C1787D">
          <w:rPr>
            <w:rFonts w:asciiTheme="minorHAnsi" w:hAnsiTheme="minorHAnsi" w:cstheme="minorHAnsi"/>
            <w:sz w:val="22"/>
            <w:u w:val="single"/>
          </w:rPr>
          <w:t xml:space="preserve">Seite 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begin"/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instrText>PAGE</w:instrTex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separate"/>
        </w:r>
        <w:r w:rsidR="00881E01">
          <w:rPr>
            <w:rFonts w:asciiTheme="minorHAnsi" w:hAnsiTheme="minorHAnsi" w:cstheme="minorHAnsi"/>
            <w:bCs/>
            <w:noProof/>
            <w:sz w:val="22"/>
            <w:u w:val="single"/>
          </w:rPr>
          <w:t>2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end"/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t>/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begin"/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instrText>NUMPAGES</w:instrTex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separate"/>
        </w:r>
        <w:r w:rsidR="00881E01">
          <w:rPr>
            <w:rFonts w:asciiTheme="minorHAnsi" w:hAnsiTheme="minorHAnsi" w:cstheme="minorHAnsi"/>
            <w:bCs/>
            <w:noProof/>
            <w:sz w:val="22"/>
            <w:u w:val="single"/>
          </w:rPr>
          <w:t>2</w:t>
        </w:r>
        <w:r w:rsidRPr="00C1787D">
          <w:rPr>
            <w:rFonts w:asciiTheme="minorHAnsi" w:hAnsiTheme="minorHAnsi" w:cstheme="minorHAnsi"/>
            <w:bCs/>
            <w:sz w:val="22"/>
            <w:u w:val="single"/>
          </w:rPr>
          <w:fldChar w:fldCharType="end"/>
        </w:r>
      </w:p>
    </w:sdtContent>
  </w:sdt>
  <w:p w:rsidR="004C0BC7" w:rsidRPr="004C0BC7" w:rsidRDefault="004C0BC7" w:rsidP="004C0BC7">
    <w:pPr>
      <w:pStyle w:val="Kopfzeile"/>
      <w:tabs>
        <w:tab w:val="clear" w:pos="9072"/>
        <w:tab w:val="right" w:pos="9638"/>
      </w:tabs>
      <w:jc w:val="right"/>
      <w:rPr>
        <w:rFonts w:asciiTheme="minorHAnsi" w:hAnsiTheme="minorHAnsi" w:cstheme="minorHAnsi"/>
        <w:b/>
        <w:sz w:val="22"/>
      </w:rPr>
    </w:pPr>
    <w:r w:rsidRPr="00D13345">
      <w:rPr>
        <w:rFonts w:asciiTheme="minorHAnsi" w:hAnsiTheme="minorHAnsi" w:cstheme="minorHAnsi"/>
        <w:b/>
        <w:sz w:val="22"/>
        <w:highlight w:val="yellow"/>
      </w:rPr>
      <w:t>Lehrkraft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3DE0"/>
    <w:multiLevelType w:val="hybridMultilevel"/>
    <w:tmpl w:val="CCF6AF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C5FBF"/>
    <w:multiLevelType w:val="hybridMultilevel"/>
    <w:tmpl w:val="6D6C3A68"/>
    <w:lvl w:ilvl="0" w:tplc="174033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3FB9"/>
    <w:multiLevelType w:val="hybridMultilevel"/>
    <w:tmpl w:val="D90A10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03EF"/>
    <w:multiLevelType w:val="hybridMultilevel"/>
    <w:tmpl w:val="237495E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568F5"/>
    <w:multiLevelType w:val="hybridMultilevel"/>
    <w:tmpl w:val="4BC8A0DA"/>
    <w:lvl w:ilvl="0" w:tplc="83329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" w15:restartNumberingAfterBreak="0">
    <w:nsid w:val="3D26147E"/>
    <w:multiLevelType w:val="hybridMultilevel"/>
    <w:tmpl w:val="77465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76C50"/>
    <w:multiLevelType w:val="hybridMultilevel"/>
    <w:tmpl w:val="8228D576"/>
    <w:lvl w:ilvl="0" w:tplc="717861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84876"/>
    <w:multiLevelType w:val="hybridMultilevel"/>
    <w:tmpl w:val="317244B6"/>
    <w:lvl w:ilvl="0" w:tplc="5A828C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3D"/>
    <w:rsid w:val="00016381"/>
    <w:rsid w:val="00036B1B"/>
    <w:rsid w:val="00044E3F"/>
    <w:rsid w:val="000575F8"/>
    <w:rsid w:val="000A36E1"/>
    <w:rsid w:val="000B3F39"/>
    <w:rsid w:val="000F593D"/>
    <w:rsid w:val="000F7977"/>
    <w:rsid w:val="0011445E"/>
    <w:rsid w:val="00147F6E"/>
    <w:rsid w:val="00182F52"/>
    <w:rsid w:val="00253B22"/>
    <w:rsid w:val="00334E29"/>
    <w:rsid w:val="003806A4"/>
    <w:rsid w:val="00396BBE"/>
    <w:rsid w:val="00415886"/>
    <w:rsid w:val="00482664"/>
    <w:rsid w:val="004C0BC7"/>
    <w:rsid w:val="004E6535"/>
    <w:rsid w:val="00512696"/>
    <w:rsid w:val="00533492"/>
    <w:rsid w:val="00534F8A"/>
    <w:rsid w:val="00545645"/>
    <w:rsid w:val="00630BFD"/>
    <w:rsid w:val="00642292"/>
    <w:rsid w:val="006B4874"/>
    <w:rsid w:val="006D1DB8"/>
    <w:rsid w:val="00721574"/>
    <w:rsid w:val="00732DF3"/>
    <w:rsid w:val="00752B54"/>
    <w:rsid w:val="007572E2"/>
    <w:rsid w:val="007574FB"/>
    <w:rsid w:val="00857343"/>
    <w:rsid w:val="00881E01"/>
    <w:rsid w:val="008B043B"/>
    <w:rsid w:val="008B2981"/>
    <w:rsid w:val="00961F1A"/>
    <w:rsid w:val="0098295F"/>
    <w:rsid w:val="009B52F2"/>
    <w:rsid w:val="00A71A3E"/>
    <w:rsid w:val="00B12D3C"/>
    <w:rsid w:val="00B607D5"/>
    <w:rsid w:val="00B87B17"/>
    <w:rsid w:val="00B95313"/>
    <w:rsid w:val="00BA1170"/>
    <w:rsid w:val="00CA5BD3"/>
    <w:rsid w:val="00CF06B8"/>
    <w:rsid w:val="00D167B9"/>
    <w:rsid w:val="00D422BC"/>
    <w:rsid w:val="00D43D20"/>
    <w:rsid w:val="00D80E13"/>
    <w:rsid w:val="00E233B7"/>
    <w:rsid w:val="00E67BEF"/>
    <w:rsid w:val="00E80C46"/>
    <w:rsid w:val="00F5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A15A"/>
  <w15:docId w15:val="{977EE0A1-15CC-4D51-8A53-2B645E60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F593D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593D"/>
    <w:pPr>
      <w:ind w:left="720"/>
      <w:contextualSpacing/>
    </w:pPr>
  </w:style>
  <w:style w:type="paragraph" w:customStyle="1" w:styleId="L0">
    <w:name w:val="L0"/>
    <w:basedOn w:val="Standard"/>
    <w:link w:val="L0Zchn"/>
    <w:rsid w:val="000F593D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0F593D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0F59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0F593D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">
    <w:name w:val="T"/>
    <w:basedOn w:val="Standard"/>
    <w:link w:val="TZchn"/>
    <w:rsid w:val="0098295F"/>
  </w:style>
  <w:style w:type="character" w:customStyle="1" w:styleId="TZchn">
    <w:name w:val="T Zchn"/>
    <w:basedOn w:val="Absatz-Standardschriftart"/>
    <w:link w:val="T"/>
    <w:rsid w:val="0098295F"/>
    <w:rPr>
      <w:rFonts w:ascii="Arial" w:eastAsia="Times New Roman" w:hAnsi="Arial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422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ule-bw.de/faecher-und-schularten/berufliche-bildung/wirtschaft/unterrichtsentwuerfe-und-materialien/rechnungswesen/buchfuehrung/index-3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48"/>
    <w:rsid w:val="00352D48"/>
    <w:rsid w:val="00C7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07AAA51E8D04123A251887B3898062D">
    <w:name w:val="607AAA51E8D04123A251887B3898062D"/>
    <w:rsid w:val="00352D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D9FC4-FD78-4CF3-8CA3-D0F9BA594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6</cp:revision>
  <cp:lastPrinted>2019-10-23T09:25:00Z</cp:lastPrinted>
  <dcterms:created xsi:type="dcterms:W3CDTF">2015-05-03T15:30:00Z</dcterms:created>
  <dcterms:modified xsi:type="dcterms:W3CDTF">2019-10-23T09:26:00Z</dcterms:modified>
</cp:coreProperties>
</file>