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CA2" w:rsidRPr="00FC7CA2" w:rsidRDefault="00FC7CA2" w:rsidP="00FC7CA2">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120" w:after="0" w:line="240" w:lineRule="auto"/>
        <w:ind w:left="833" w:right="113" w:hanging="720"/>
        <w:rPr>
          <w:rFonts w:eastAsia="Times New Roman" w:cstheme="minorHAnsi"/>
          <w:b/>
          <w:bCs/>
          <w:sz w:val="26"/>
          <w:szCs w:val="26"/>
          <w:lang w:eastAsia="de-DE"/>
        </w:rPr>
      </w:pPr>
      <w:r w:rsidRPr="00FC7CA2">
        <w:rPr>
          <w:rFonts w:ascii="Arial" w:eastAsia="Times New Roman" w:hAnsi="Arial" w:cs="Times New Roman"/>
          <w:noProof/>
          <w:sz w:val="24"/>
          <w:szCs w:val="24"/>
          <w:lang w:eastAsia="de-DE"/>
        </w:rPr>
        <mc:AlternateContent>
          <mc:Choice Requires="wps">
            <w:drawing>
              <wp:anchor distT="0" distB="0" distL="114300" distR="114300" simplePos="0" relativeHeight="251659264" behindDoc="1" locked="0" layoutInCell="1" allowOverlap="1" wp14:anchorId="3BBF358C" wp14:editId="31760FC8">
                <wp:simplePos x="0" y="0"/>
                <wp:positionH relativeFrom="column">
                  <wp:posOffset>2815589</wp:posOffset>
                </wp:positionH>
                <wp:positionV relativeFrom="paragraph">
                  <wp:posOffset>342900</wp:posOffset>
                </wp:positionV>
                <wp:extent cx="3575443" cy="1082404"/>
                <wp:effectExtent l="95250" t="342900" r="82550" b="346710"/>
                <wp:wrapTight wrapText="bothSides">
                  <wp:wrapPolygon edited="0">
                    <wp:start x="-346" y="-251"/>
                    <wp:lineTo x="-325" y="6313"/>
                    <wp:lineTo x="-495" y="15704"/>
                    <wp:lineTo x="-326" y="18694"/>
                    <wp:lineTo x="4312" y="22013"/>
                    <wp:lineTo x="4425" y="21943"/>
                    <wp:lineTo x="14267" y="22040"/>
                    <wp:lineTo x="14381" y="21970"/>
                    <wp:lineTo x="21175" y="22019"/>
                    <wp:lineTo x="21288" y="21949"/>
                    <wp:lineTo x="21741" y="21669"/>
                    <wp:lineTo x="21847" y="17347"/>
                    <wp:lineTo x="21847" y="4966"/>
                    <wp:lineTo x="20851" y="-220"/>
                    <wp:lineTo x="20717" y="-6715"/>
                    <wp:lineTo x="10987" y="-691"/>
                    <wp:lineTo x="10648" y="-6671"/>
                    <wp:lineTo x="785" y="-951"/>
                    <wp:lineTo x="-346" y="-251"/>
                  </wp:wrapPolygon>
                </wp:wrapTight>
                <wp:docPr id="3" name="Textfeld 3"/>
                <wp:cNvGraphicFramePr/>
                <a:graphic xmlns:a="http://schemas.openxmlformats.org/drawingml/2006/main">
                  <a:graphicData uri="http://schemas.microsoft.com/office/word/2010/wordprocessingShape">
                    <wps:wsp>
                      <wps:cNvSpPr txBox="1"/>
                      <wps:spPr>
                        <a:xfrm rot="636827">
                          <a:off x="0" y="0"/>
                          <a:ext cx="3575443" cy="1082404"/>
                        </a:xfrm>
                        <a:prstGeom prst="rect">
                          <a:avLst/>
                        </a:prstGeom>
                        <a:solidFill>
                          <a:sysClr val="window" lastClr="FFFFFF"/>
                        </a:solidFill>
                        <a:ln w="6350">
                          <a:solidFill>
                            <a:prstClr val="black"/>
                          </a:solidFill>
                        </a:ln>
                      </wps:spPr>
                      <wps:txbx>
                        <w:txbxContent>
                          <w:p w:rsidR="00FC7CA2" w:rsidRPr="00FC7CA2" w:rsidRDefault="00FC7CA2" w:rsidP="00FC7CA2">
                            <w:pPr>
                              <w:spacing w:line="276" w:lineRule="auto"/>
                              <w:rPr>
                                <w:rFonts w:ascii="Consolas" w:hAnsi="Consolas"/>
                              </w:rPr>
                            </w:pPr>
                            <w:r>
                              <w:rPr>
                                <w:rFonts w:ascii="Consolas" w:hAnsi="Consolas"/>
                                <w:b/>
                              </w:rPr>
                              <w:t>Fragen an den Text stellen:</w:t>
                            </w:r>
                            <w:r w:rsidRPr="00FC7CA2">
                              <w:rPr>
                                <w:rFonts w:ascii="Calibri" w:eastAsia="Times New Roman" w:hAnsi="Calibri" w:cs="Courier New"/>
                                <w:szCs w:val="24"/>
                                <w:lang w:eastAsia="de-DE"/>
                              </w:rPr>
                              <w:t xml:space="preserve"> </w:t>
                            </w:r>
                            <w:r w:rsidRPr="00FC7CA2">
                              <w:rPr>
                                <w:rFonts w:ascii="Consolas" w:hAnsi="Consolas"/>
                              </w:rPr>
                              <w:t xml:space="preserve">Sie lesen gleich Auszüge aus der </w:t>
                            </w:r>
                            <w:proofErr w:type="spellStart"/>
                            <w:r w:rsidRPr="00FC7CA2">
                              <w:rPr>
                                <w:rFonts w:ascii="Consolas" w:hAnsi="Consolas"/>
                              </w:rPr>
                              <w:t>Preisangabenverordnung</w:t>
                            </w:r>
                            <w:proofErr w:type="spellEnd"/>
                            <w:r w:rsidRPr="00FC7CA2">
                              <w:rPr>
                                <w:rFonts w:ascii="Consolas" w:hAnsi="Consolas"/>
                              </w:rPr>
                              <w:t xml:space="preserve"> (PAngV). Welche Fragen sollen Ihnen diese Paragrafen beantworten? Schreiben Sie drei bis fünf Fragen auf.</w:t>
                            </w:r>
                          </w:p>
                          <w:p w:rsidR="00FC7CA2" w:rsidRPr="00833AA0" w:rsidRDefault="00FC7CA2" w:rsidP="00FC7CA2">
                            <w:pPr>
                              <w:jc w:val="center"/>
                              <w:rPr>
                                <w:rFonts w:ascii="Consolas" w:hAnsi="Consolas"/>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BF358C" id="_x0000_t202" coordsize="21600,21600" o:spt="202" path="m,l,21600r21600,l21600,xe">
                <v:stroke joinstyle="miter"/>
                <v:path gradientshapeok="t" o:connecttype="rect"/>
              </v:shapetype>
              <v:shape id="Textfeld 3" o:spid="_x0000_s1026" type="#_x0000_t202" style="position:absolute;left:0;text-align:left;margin-left:221.7pt;margin-top:27pt;width:281.55pt;height:85.25pt;rotation:695585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" fillcolor="window" strokeweight=".5pt">
                <v:textbox>
                  <w:txbxContent>
                    <w:p w:rsidR="00FC7CA2" w:rsidRPr="00FC7CA2" w:rsidRDefault="00FC7CA2" w:rsidP="00FC7CA2">
                      <w:pPr>
                        <w:spacing w:line="276" w:lineRule="auto"/>
                        <w:rPr>
                          <w:rFonts w:ascii="Consolas" w:hAnsi="Consolas"/>
                        </w:rPr>
                      </w:pPr>
                      <w:r>
                        <w:rPr>
                          <w:rFonts w:ascii="Consolas" w:hAnsi="Consolas"/>
                          <w:b/>
                        </w:rPr>
                        <w:t>Fragen an den Text stellen:</w:t>
                      </w:r>
                      <w:r w:rsidRPr="00FC7CA2">
                        <w:rPr>
                          <w:rFonts w:ascii="Calibri" w:eastAsia="Times New Roman" w:hAnsi="Calibri" w:cs="Courier New"/>
                          <w:szCs w:val="24"/>
                          <w:lang w:eastAsia="de-DE"/>
                        </w:rPr>
                        <w:t xml:space="preserve"> </w:t>
                      </w:r>
                      <w:r w:rsidRPr="00FC7CA2">
                        <w:rPr>
                          <w:rFonts w:ascii="Consolas" w:hAnsi="Consolas"/>
                        </w:rPr>
                        <w:t xml:space="preserve">Sie lesen gleich Auszüge aus der </w:t>
                      </w:r>
                      <w:proofErr w:type="spellStart"/>
                      <w:r w:rsidRPr="00FC7CA2">
                        <w:rPr>
                          <w:rFonts w:ascii="Consolas" w:hAnsi="Consolas"/>
                        </w:rPr>
                        <w:t>Preisangabenverordnung</w:t>
                      </w:r>
                      <w:proofErr w:type="spellEnd"/>
                      <w:r w:rsidRPr="00FC7CA2">
                        <w:rPr>
                          <w:rFonts w:ascii="Consolas" w:hAnsi="Consolas"/>
                        </w:rPr>
                        <w:t xml:space="preserve"> (PAngV). Welche Fragen sollen Ihnen diese Paragrafen beantworten? Schreiben Sie drei bis fünf Fragen auf.</w:t>
                      </w:r>
                    </w:p>
                    <w:p w:rsidR="00FC7CA2" w:rsidRPr="00833AA0" w:rsidRDefault="00FC7CA2" w:rsidP="00FC7CA2">
                      <w:pPr>
                        <w:jc w:val="center"/>
                        <w:rPr>
                          <w:rFonts w:ascii="Consolas" w:hAnsi="Consolas"/>
                          <w:b/>
                        </w:rPr>
                      </w:pPr>
                    </w:p>
                  </w:txbxContent>
                </v:textbox>
                <w10:wrap type="tight"/>
              </v:shape>
            </w:pict>
          </mc:Fallback>
        </mc:AlternateContent>
      </w:r>
      <w:r w:rsidRPr="00FC7CA2">
        <w:rPr>
          <w:rFonts w:eastAsia="Times New Roman" w:cstheme="minorHAnsi"/>
          <w:b/>
          <w:bCs/>
          <w:sz w:val="26"/>
          <w:szCs w:val="26"/>
          <w:lang w:eastAsia="de-DE"/>
        </w:rPr>
        <w:t>Datenkranz</w:t>
      </w:r>
    </w:p>
    <w:p w:rsidR="00FC7CA2" w:rsidRDefault="00FC7CA2" w:rsidP="007B3E3C">
      <w:pPr>
        <w:rPr>
          <w:b/>
          <w:sz w:val="28"/>
        </w:rPr>
      </w:pPr>
    </w:p>
    <w:p w:rsidR="007B3E3C" w:rsidRPr="007B3E3C" w:rsidRDefault="007B3E3C" w:rsidP="007B3E3C">
      <w:pPr>
        <w:rPr>
          <w:b/>
          <w:sz w:val="28"/>
        </w:rPr>
      </w:pPr>
      <w:r w:rsidRPr="007B3E3C">
        <w:rPr>
          <w:b/>
          <w:sz w:val="28"/>
        </w:rPr>
        <w:t xml:space="preserve">Auszug aus der </w:t>
      </w:r>
      <w:proofErr w:type="spellStart"/>
      <w:r w:rsidRPr="007B3E3C">
        <w:rPr>
          <w:b/>
          <w:sz w:val="28"/>
        </w:rPr>
        <w:t>Preisangabenverordnung</w:t>
      </w:r>
      <w:proofErr w:type="spellEnd"/>
      <w:r w:rsidRPr="007B3E3C">
        <w:rPr>
          <w:b/>
          <w:sz w:val="28"/>
        </w:rPr>
        <w:t xml:space="preserve"> (PAngV)</w:t>
      </w:r>
      <w:r w:rsidR="00FC7CA2" w:rsidRPr="00FC7CA2">
        <w:rPr>
          <w:rFonts w:ascii="Arial" w:eastAsia="Times New Roman" w:hAnsi="Arial" w:cs="Times New Roman"/>
          <w:noProof/>
          <w:sz w:val="24"/>
          <w:szCs w:val="24"/>
          <w:lang w:eastAsia="de-DE"/>
        </w:rPr>
        <w:t xml:space="preserve"> </w:t>
      </w:r>
    </w:p>
    <w:p w:rsidR="007B3E3C" w:rsidRPr="007B3E3C" w:rsidRDefault="007B3E3C" w:rsidP="007B3E3C">
      <w:pPr>
        <w:tabs>
          <w:tab w:val="left" w:pos="284"/>
        </w:tabs>
        <w:rPr>
          <w:b/>
        </w:rPr>
      </w:pPr>
      <w:r w:rsidRPr="007B3E3C">
        <w:rPr>
          <w:b/>
        </w:rPr>
        <w:t>§ 1 Grundvorschriften</w:t>
      </w:r>
    </w:p>
    <w:p w:rsidR="007B3E3C" w:rsidRDefault="007B3E3C" w:rsidP="007B3E3C">
      <w:pPr>
        <w:tabs>
          <w:tab w:val="left" w:pos="284"/>
        </w:tabs>
      </w:pPr>
      <w:r>
        <w:t>(1)</w:t>
      </w:r>
      <w:r>
        <w:tab/>
        <w:t xml:space="preserve"> Wer Verbrauchern gemäß § 13 des Bürgerlichen Gesetzbuchs gewerbs- oder geschäftsmäßig oder wer ihnen regelmäßig in sonstiger Weise Waren oder Leistungen anbietet oder als Anbieter von Waren oder Leistungen gegenüber Verbrauchern unter Angabe von Preisen wirbt, hat die Preise anzugeben, die einschließlich der Umsatzsteuer und sonstiger Preisbestandteile zu zahlen sind (Gesamtpreise). Soweit es der allgemeinen Verkehrsauffassung entspricht, sind auch die Verkaufs- oder Leistungseinheit und die Gütebezeichnung anzugeben, auf die sich die Preise beziehen. Auf die Bereitschaft, über den angegebenen Preis zu verhandeln, kann hingewiesen werden, soweit es der allgemeinen Verkehrsauffassung entspricht und Rechtsvorschriften nicht entgegenstehen.</w:t>
      </w:r>
    </w:p>
    <w:p w:rsidR="007B3E3C" w:rsidRDefault="007B3E3C" w:rsidP="007B3E3C">
      <w:r>
        <w:t>(…)</w:t>
      </w:r>
    </w:p>
    <w:p w:rsidR="007B3E3C" w:rsidRDefault="007B3E3C" w:rsidP="007B3E3C">
      <w:r>
        <w:t>(7) Die Angaben nach dieser Verordnung müssen der allgemeinen Verkehrsauffassung und den Grundsätzen von Preisklarheit und Preiswahrheit entsprechen. Wer zu Angaben nach dieser Verordnung verpflichtet ist, hat diese dem Angebot oder der Werbung eindeutig zuzuordnen sowie leicht erkennbar und deutlich lesbar oder sonst gut wahrnehmbar zu machen. Bei der Aufgliederung von Preisen sind die Gesamtpreise hervorzuheben.</w:t>
      </w:r>
    </w:p>
    <w:p w:rsidR="007B3E3C" w:rsidRDefault="007B3E3C" w:rsidP="007B3E3C"/>
    <w:p w:rsidR="007B3E3C" w:rsidRPr="007B3E3C" w:rsidRDefault="007B3E3C" w:rsidP="007B3E3C">
      <w:pPr>
        <w:rPr>
          <w:b/>
        </w:rPr>
      </w:pPr>
      <w:r w:rsidRPr="007B3E3C">
        <w:rPr>
          <w:b/>
        </w:rPr>
        <w:t>§ 2 Grundpreis</w:t>
      </w:r>
    </w:p>
    <w:p w:rsidR="007B3E3C" w:rsidRDefault="007B3E3C" w:rsidP="007B3E3C">
      <w:r>
        <w:t>(1) Wer Verbrauchern gewerbs- oder geschäftsmäßig oder wer ihnen regelmäßig in sonstiger Weise Waren in Fertigpackungen, offenen Packungen oder als Verkaufseinheiten ohne Umhüllung nach Gewicht, Volumen, Länge oder Fläche anbietet, hat neben dem Gesamtpreis auch den Preis je Mengeneinheit einschließlich der Umsatzsteuer und sonstiger Preisbestandteile (Grundpreis) in unmittelbarer Nähe des Gesamtpreises gemäß Absatz 3 Satz 1, 2, 4 oder 5 anzugeben. Dies gilt auch für denjenigen, der als Anbieter dieser Waren gegenüber Verbrauchern unter Angabe von Preisen wirbt. Auf die Angabe des Grundpreises kann verzichtet werden, wenn dieser mit dem Gesamtpreis identisch ist.</w:t>
      </w:r>
    </w:p>
    <w:p w:rsidR="007B3E3C" w:rsidRDefault="007B3E3C" w:rsidP="007B3E3C">
      <w:r>
        <w:t>(2) Wer Verbrauchern gewerbs- oder geschäftsmäßig oder wer ihnen regelmäßig in sonstiger Weise unverpackte Waren, die in deren Anwesenheit oder auf deren Veranlassung abgemessen werden (lose Ware), nach Gewicht, Volumen, Länge oder Fläche anbietet oder als Anbieter dieser Waren gegenüber Verbrauchern unter Angabe von Preisen wirbt, hat lediglich den Grundpreis gemäß Absatz 3 anzugeben.</w:t>
      </w:r>
    </w:p>
    <w:p w:rsidR="007B3E3C" w:rsidRDefault="007B3E3C" w:rsidP="007B3E3C">
      <w:r>
        <w:t>(3) Die Mengeneinheit für den Grundpreis ist jeweils 1 Kilogramm, 1 Liter, 1 Kubikmeter, 1 Meter oder 1 Quadratmeter der Ware. Bei Waren, deren Nenngewicht oder Nennvolumen üblicherweise 250 Gramm oder Milliliter nicht übersteigt, dürfen als Mengeneinheit für den Grundpreis 100 Gramm oder Milliliter verwendet werden. Bei nach Gewicht oder nach Volumen angebotener loser Ware ist als Mengeneinheit für den Grundpreis entsprechend der allgemeinen Verkehrsauffassung entweder 1 Kilogramm oder 100 Gramm oder 1 Liter oder 100 Milliliter zu verwenden. Bei Waren, die üblicherweise in Mengen von 100 Liter und mehr, 50 Kilogramm und mehr oder 100 Meter und mehr abgegeben werden, ist für den Grundpreis die Mengeneinheit zu verwenden, die der allgemeinen Verkehrsauffassung entspricht. Bei Waren, bei denen das Abtropfgewicht anzugeben ist, ist der Grundpreis auf das angegebene Abtropfgewicht zu beziehen.</w:t>
      </w:r>
    </w:p>
    <w:p w:rsidR="007B3E3C" w:rsidRDefault="007B3E3C" w:rsidP="007B3E3C">
      <w:r>
        <w:t>(…)</w:t>
      </w:r>
    </w:p>
    <w:p w:rsidR="007B3E3C" w:rsidRDefault="007B3E3C" w:rsidP="007B3E3C"/>
    <w:p w:rsidR="007B3E3C" w:rsidRPr="007B3E3C" w:rsidRDefault="007B3E3C" w:rsidP="007B3E3C">
      <w:pPr>
        <w:rPr>
          <w:b/>
        </w:rPr>
      </w:pPr>
      <w:r w:rsidRPr="007B3E3C">
        <w:rPr>
          <w:b/>
        </w:rPr>
        <w:t>§ 4 Handel</w:t>
      </w:r>
    </w:p>
    <w:p w:rsidR="007B3E3C" w:rsidRDefault="007B3E3C" w:rsidP="007B3E3C">
      <w:r>
        <w:t>(1) Waren, die in Schaufenstern, Schaukästen, innerhalb oder außerhalb des Verkaufsraumes auf Verkaufsständen oder in sonstiger Weise sichtbar ausgestellt werden, und Waren, die vom Verbraucher unmittelbar entnommen werden können, sind durch Preisschilder oder Beschriftung der Ware auszuzeichnen.</w:t>
      </w:r>
    </w:p>
    <w:p w:rsidR="007B3E3C" w:rsidRDefault="007B3E3C" w:rsidP="007B3E3C">
      <w:r>
        <w:t>(2) Waren, die nicht unter den Voraussetzungen des Absatzes 1 im Verkaufsraum zum Verkauf bereitgehalten werden, sind entweder nach Absatz 1 auszuzeichnen oder dadurch, dass die Behältnisse oder Regale, in denen sich die Waren befinden, beschriftet werden oder dass Preisverzeichnisse angebracht oder zur Einsichtnahme aufgelegt werden.</w:t>
      </w:r>
    </w:p>
    <w:p w:rsidR="007B3E3C" w:rsidRDefault="007B3E3C" w:rsidP="007B3E3C">
      <w:r>
        <w:t>(3) Waren, die nach Musterbüchern angeboten werden, sind dadurch auszuzeichnen, dass die Preise für die Verkaufseinheit auf den Mustern oder damit verbundenen Preisschildern oder Preisverzeichnissen angegeben werden.</w:t>
      </w:r>
    </w:p>
    <w:p w:rsidR="00FC7CA2" w:rsidRDefault="007B3E3C" w:rsidP="007B3E3C">
      <w:r>
        <w:t>(4) Waren, die nach Katalogen oder Warenlisten oder auf Bildschirmen angeboten werden, sind dadurch auszuzeichnen, dass die Preise unmittelbar bei den Abbildungen oder Beschreibungen der Waren oder in mit den Katalogen oder Warenlisten im Zusammenhang stehenden Preisverzeichnissen angegeben werden.</w:t>
      </w:r>
    </w:p>
    <w:p w:rsidR="00FC7CA2" w:rsidRDefault="00D76E46" w:rsidP="00FC7CA2">
      <w:r w:rsidRPr="00D76E46">
        <w:rPr>
          <w:u w:val="single"/>
        </w:rPr>
        <w:t>Quelle</w:t>
      </w:r>
      <w:r>
        <w:t xml:space="preserve">: </w:t>
      </w:r>
      <w:hyperlink r:id="rId6" w:history="1">
        <w:r w:rsidRPr="00F2197E">
          <w:rPr>
            <w:rStyle w:val="Hyperlink"/>
          </w:rPr>
          <w:t>www.gesetze-im-internet.de/pangv/</w:t>
        </w:r>
      </w:hyperlink>
      <w:r>
        <w:t xml:space="preserve"> (Zugriff am 27.04.2019)</w:t>
      </w:r>
      <w:bookmarkStart w:id="0" w:name="_GoBack"/>
      <w:bookmarkEnd w:id="0"/>
    </w:p>
    <w:p w:rsidR="00206306" w:rsidRDefault="00FC7CA2" w:rsidP="00FC7CA2">
      <w:r w:rsidRPr="00FC7CA2">
        <w:rPr>
          <w:sz w:val="52"/>
        </w:rPr>
        <w:sym w:font="Wingdings" w:char="F021"/>
      </w:r>
      <w:r>
        <w:t xml:space="preserve"> </w:t>
      </w:r>
      <w:r w:rsidRPr="00FC7CA2">
        <w:rPr>
          <w:sz w:val="24"/>
        </w:rPr>
        <w:t>Fragen:</w:t>
      </w:r>
    </w:p>
    <w:tbl>
      <w:tblPr>
        <w:tblStyle w:val="Tabellenraster"/>
        <w:tblpPr w:leftFromText="141" w:rightFromText="141" w:vertAnchor="text" w:horzAnchor="margin" w:tblpY="73"/>
        <w:tblW w:w="0" w:type="auto"/>
        <w:tblLook w:val="04A0" w:firstRow="1" w:lastRow="0" w:firstColumn="1" w:lastColumn="0" w:noHBand="0" w:noVBand="1"/>
      </w:tblPr>
      <w:tblGrid>
        <w:gridCol w:w="9628"/>
      </w:tblGrid>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r w:rsidR="00FC7CA2" w:rsidTr="00FC7CA2">
        <w:trPr>
          <w:trHeight w:val="567"/>
        </w:trPr>
        <w:tc>
          <w:tcPr>
            <w:tcW w:w="9628" w:type="dxa"/>
          </w:tcPr>
          <w:p w:rsidR="00FC7CA2" w:rsidRDefault="00FC7CA2" w:rsidP="00FC7CA2">
            <w:pPr>
              <w:pStyle w:val="KeinLeerraum"/>
            </w:pPr>
          </w:p>
        </w:tc>
      </w:tr>
    </w:tbl>
    <w:p w:rsidR="00FC7CA2" w:rsidRDefault="00FC7CA2" w:rsidP="00FC7CA2">
      <w:pPr>
        <w:pStyle w:val="KeinLeerraum"/>
      </w:pPr>
    </w:p>
    <w:sectPr w:rsidR="00FC7CA2" w:rsidSect="00907BEA">
      <w:footerReference w:type="default" r:id="rId7"/>
      <w:pgSz w:w="11906" w:h="16838"/>
      <w:pgMar w:top="85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9C2" w:rsidRDefault="007809C2" w:rsidP="00907BEA">
      <w:pPr>
        <w:spacing w:after="0" w:line="240" w:lineRule="auto"/>
      </w:pPr>
      <w:r>
        <w:separator/>
      </w:r>
    </w:p>
  </w:endnote>
  <w:endnote w:type="continuationSeparator" w:id="0">
    <w:p w:rsidR="007809C2" w:rsidRDefault="007809C2" w:rsidP="00907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9A6" w:rsidRPr="00A469A6" w:rsidRDefault="00A469A6" w:rsidP="00A469A6">
    <w:pPr>
      <w:widowControl w:val="0"/>
      <w:tabs>
        <w:tab w:val="center" w:pos="4536"/>
        <w:tab w:val="right" w:pos="9072"/>
      </w:tabs>
      <w:autoSpaceDE w:val="0"/>
      <w:autoSpaceDN w:val="0"/>
      <w:adjustRightInd w:val="0"/>
      <w:spacing w:after="0" w:line="240" w:lineRule="auto"/>
      <w:rPr>
        <w:rFonts w:ascii="Arial" w:eastAsia="Times New Roman" w:hAnsi="Arial" w:cs="Times New Roman"/>
        <w:sz w:val="24"/>
        <w:szCs w:val="24"/>
        <w:lang w:eastAsia="de-DE"/>
      </w:rPr>
    </w:pPr>
    <w:r w:rsidRPr="00A469A6">
      <w:rPr>
        <w:rFonts w:ascii="Arial" w:eastAsia="Times New Roman" w:hAnsi="Arial" w:cs="Times New Roman"/>
        <w:noProof/>
        <w:sz w:val="24"/>
        <w:szCs w:val="24"/>
        <w:lang w:eastAsia="de-DE"/>
      </w:rPr>
      <w:drawing>
        <wp:anchor distT="0" distB="0" distL="114300" distR="114300" simplePos="0" relativeHeight="251659264" behindDoc="1" locked="0" layoutInCell="1" allowOverlap="1" wp14:anchorId="5DB962D4" wp14:editId="2C113F86">
          <wp:simplePos x="0" y="0"/>
          <wp:positionH relativeFrom="column">
            <wp:posOffset>0</wp:posOffset>
          </wp:positionH>
          <wp:positionV relativeFrom="paragraph">
            <wp:posOffset>30480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69A6" w:rsidRPr="00A469A6" w:rsidRDefault="00A469A6" w:rsidP="00A469A6">
    <w:pPr>
      <w:widowControl w:val="0"/>
      <w:tabs>
        <w:tab w:val="left" w:pos="6120"/>
      </w:tabs>
      <w:autoSpaceDE w:val="0"/>
      <w:autoSpaceDN w:val="0"/>
      <w:adjustRightInd w:val="0"/>
      <w:spacing w:after="0" w:line="240" w:lineRule="auto"/>
      <w:jc w:val="right"/>
      <w:rPr>
        <w:rFonts w:ascii="Arial" w:eastAsia="Times New Roman" w:hAnsi="Arial" w:cs="Times New Roman"/>
        <w:sz w:val="24"/>
        <w:szCs w:val="24"/>
        <w:lang w:eastAsia="de-DE"/>
      </w:rPr>
    </w:pPr>
    <w:r w:rsidRPr="00A469A6">
      <w:rPr>
        <w:rFonts w:ascii="Arial" w:eastAsia="Times New Roman" w:hAnsi="Arial" w:cs="Times New Roman"/>
        <w:sz w:val="24"/>
        <w:szCs w:val="24"/>
        <w:lang w:eastAsia="de-DE"/>
      </w:rPr>
      <w:tab/>
    </w:r>
    <w:r w:rsidRPr="00A469A6">
      <w:rPr>
        <w:rFonts w:eastAsia="Times New Roman" w:cs="Times New Roman"/>
        <w:sz w:val="18"/>
        <w:szCs w:val="24"/>
        <w:lang w:eastAsia="de-DE"/>
      </w:rPr>
      <w:t>www.wirtschaftskompetenz-bw.de</w:t>
    </w:r>
  </w:p>
  <w:p w:rsidR="00907BEA" w:rsidRDefault="00907BEA">
    <w:pPr>
      <w:pStyle w:val="Fuzeile"/>
    </w:pPr>
  </w:p>
  <w:p w:rsidR="00907BEA" w:rsidRDefault="00907BE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9C2" w:rsidRDefault="007809C2" w:rsidP="00907BEA">
      <w:pPr>
        <w:spacing w:after="0" w:line="240" w:lineRule="auto"/>
      </w:pPr>
      <w:r>
        <w:separator/>
      </w:r>
    </w:p>
  </w:footnote>
  <w:footnote w:type="continuationSeparator" w:id="0">
    <w:p w:rsidR="007809C2" w:rsidRDefault="007809C2" w:rsidP="00907B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E3C"/>
    <w:rsid w:val="00105B79"/>
    <w:rsid w:val="00206306"/>
    <w:rsid w:val="007809C2"/>
    <w:rsid w:val="007B3E3C"/>
    <w:rsid w:val="00907BEA"/>
    <w:rsid w:val="00A469A6"/>
    <w:rsid w:val="00BD2A39"/>
    <w:rsid w:val="00BD7E5A"/>
    <w:rsid w:val="00D76E46"/>
    <w:rsid w:val="00FC7C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D6F48"/>
  <w15:chartTrackingRefBased/>
  <w15:docId w15:val="{E42E8CFF-6402-4710-A5DB-884636A66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next w:val="KeinLeerraum"/>
    <w:qFormat/>
    <w:rsid w:val="00105B7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styleId="Listenabsatz">
    <w:name w:val="List Paragraph"/>
    <w:basedOn w:val="Standard"/>
    <w:uiPriority w:val="34"/>
    <w:qFormat/>
    <w:rsid w:val="007B3E3C"/>
    <w:pPr>
      <w:ind w:left="720"/>
      <w:contextualSpacing/>
    </w:pPr>
  </w:style>
  <w:style w:type="table" w:styleId="Tabellenraster">
    <w:name w:val="Table Grid"/>
    <w:basedOn w:val="NormaleTabelle"/>
    <w:uiPriority w:val="39"/>
    <w:rsid w:val="00FC7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07B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07BEA"/>
  </w:style>
  <w:style w:type="paragraph" w:styleId="Fuzeile">
    <w:name w:val="footer"/>
    <w:basedOn w:val="Standard"/>
    <w:link w:val="FuzeileZchn"/>
    <w:uiPriority w:val="99"/>
    <w:unhideWhenUsed/>
    <w:rsid w:val="00907BE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07BEA"/>
  </w:style>
  <w:style w:type="character" w:styleId="Hyperlink">
    <w:name w:val="Hyperlink"/>
    <w:basedOn w:val="Absatz-Standardschriftart"/>
    <w:uiPriority w:val="99"/>
    <w:unhideWhenUsed/>
    <w:rsid w:val="00D76E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setze-im-internet.de/pang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625</Words>
  <Characters>3940</Characters>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2019-04-29T12:39:00Z</cp:lastPrinted>
  <dcterms:created xsi:type="dcterms:W3CDTF">2019-01-07T18:48:00Z</dcterms:created>
  <dcterms:modified xsi:type="dcterms:W3CDTF">2019-04-29T12:41:00Z</dcterms:modified>
</cp:coreProperties>
</file>