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jpeg" ContentType="image/jpeg"/>
  <Override PartName="/word/media/image3.png" ContentType="image/png"/>
  <Override PartName="/word/media/image4.png" ContentType="image/png"/>
  <Override PartName="/word/media/image5.jpeg" ContentType="image/jpeg"/>
  <Override PartName="/word/media/image6.png" ContentType="image/pn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bidi w:val="0"/>
        <w:spacing w:before="240" w:after="120"/>
        <w:rPr/>
      </w:pPr>
      <w:r>
        <w:rPr/>
        <w:t>Aulus Gellius: Noctes Atticae 15, 22</w:t>
      </w:r>
    </w:p>
    <w:p>
      <w:pPr>
        <w:pStyle w:val="Untertitel"/>
        <w:bidi w:val="0"/>
        <w:spacing w:before="60" w:after="120"/>
        <w:jc w:val="center"/>
        <w:rPr/>
      </w:pPr>
      <w:r>
        <w:rPr/>
        <w:t>Anekdote über den Politiker Sertorius, der seinen Mitmenschen weismachte, er lasse sich von einer weißen Hirschkuh beraten</w:t>
      </w:r>
    </w:p>
    <w:p>
      <w:pPr>
        <w:sectPr>
          <w:headerReference w:type="default" r:id="rId2"/>
          <w:footerReference w:type="default" r:id="rId3"/>
          <w:type w:val="nextPage"/>
          <w:pgSz w:w="11906" w:h="16838"/>
          <w:pgMar w:left="1020" w:right="1020" w:header="1020" w:top="1579" w:footer="1020" w:bottom="2412" w:gutter="0"/>
          <w:pgNumType w:fmt="decimal"/>
          <w:formProt w:val="false"/>
          <w:textDirection w:val="lrTb"/>
          <w:docGrid w:type="default" w:linePitch="600" w:charSpace="32768"/>
        </w:sectPr>
      </w:pPr>
    </w:p>
    <w:p>
      <w:pPr>
        <w:pStyle w:val="Textkrper"/>
        <w:bidi w:val="0"/>
        <w:spacing w:lineRule="auto" w:line="276" w:before="0" w:after="140"/>
        <w:jc w:val="left"/>
        <w:rPr/>
      </w:pPr>
      <w:r>
        <w:rPr/>
        <w:t xml:space="preserve">Dies ist der </w:t>
      </w:r>
      <w:r>
        <w:rPr/>
        <w:t xml:space="preserve">Originaltext. Es gibt auch eine vereinfachte Version (ohne nd-Formen und ohne Deponentien). </w:t>
      </w:r>
      <w:r>
        <w:rPr/>
        <w:t>Siehe den Link am Ende dieses Dokuments.</w:t>
      </w:r>
    </w:p>
    <w:p>
      <w:pPr>
        <w:sectPr>
          <w:type w:val="continuous"/>
          <w:pgSz w:w="11906" w:h="16838"/>
          <w:pgMar w:left="1020" w:right="1020" w:header="1020" w:top="1579" w:footer="1020" w:bottom="2412" w:gutter="0"/>
          <w:formProt w:val="false"/>
          <w:textDirection w:val="lrTb"/>
          <w:docGrid w:type="default" w:linePitch="600" w:charSpace="32768"/>
        </w:sectPr>
      </w:pPr>
    </w:p>
    <w:p>
      <w:pPr>
        <w:pStyle w:val="Berschrift1"/>
        <w:bidi w:val="0"/>
        <w:spacing w:before="113" w:after="119"/>
        <w:jc w:val="left"/>
        <w:rPr/>
      </w:pPr>
      <w:r>
        <w:rPr/>
        <w:t>Zum Hintergrund</w:t>
      </w:r>
    </w:p>
    <w:p>
      <w:pPr>
        <w:pStyle w:val="Textkrper"/>
        <w:bidi w:val="0"/>
        <w:jc w:val="both"/>
        <w:rPr/>
      </w:pPr>
      <w:r>
        <w:rPr/>
        <w:t>Sertorius (123-72 v. Chr.) war ein römischer Politiker und Feldherr. Er kämpfte im Bürgerkrieg zwi</w:t>
        <w:softHyphen/>
        <w:t>schen Marius und Sulla auf der Seite des Marius und ging nach dessen Niederlage nach Mauretanien in Nordafrika. Vor dort holten ihn die Lusitanier (aus der Gegend des heutigen Portugal), damit er sie im Kampf gegen Rom unterstützte. Er versuchte in Spanien ein Gegenreich zu Rom zu gründen und hielt sich dabei erstaunlich lange. Er wurde schließlich von Pompeius besiegt.</w:t>
      </w:r>
    </w:p>
    <w:p>
      <w:pPr>
        <w:pStyle w:val="Textkrper"/>
        <w:bidi w:val="0"/>
        <w:jc w:val="both"/>
        <w:rPr/>
      </w:pPr>
      <w:r>
        <w:rPr/>
        <w:t xml:space="preserve">Zum historischen Hintergrund: Sertorius in der </w:t>
      </w:r>
      <w:r>
        <w:fldChar w:fldCharType="begin"/>
      </w:r>
      <w:r>
        <w:rPr>
          <w:rStyle w:val="Internetverknpfung"/>
        </w:rPr>
        <w:instrText> HYPERLINK "https://www.schule-bw.de/faecher-und-schularten/sprachen-und-literatur/latein/antike-kultur/roemische-geschichte/daten/roemische-geschichte-tabelle.html" \l "sertorius"</w:instrText>
      </w:r>
      <w:r>
        <w:rPr>
          <w:rStyle w:val="Internetverknpfung"/>
        </w:rPr>
        <w:fldChar w:fldCharType="separate"/>
      </w:r>
      <w:r>
        <w:rPr>
          <w:rStyle w:val="Internetverknpfung"/>
        </w:rPr>
        <w:t>Tabelle zur römischen Geschichte</w:t>
      </w:r>
      <w:r>
        <w:rPr>
          <w:rStyle w:val="Internetverknpfung"/>
        </w:rPr>
        <w:fldChar w:fldCharType="end"/>
      </w:r>
    </w:p>
    <w:tbl>
      <w:tblPr>
        <w:tblW w:w="10207" w:type="dxa"/>
        <w:jc w:val="left"/>
        <w:tblInd w:w="-147" w:type="dxa"/>
        <w:tblLayout w:type="fixed"/>
        <w:tblCellMar>
          <w:top w:w="57" w:type="dxa"/>
          <w:left w:w="108" w:type="dxa"/>
          <w:bottom w:w="57" w:type="dxa"/>
          <w:right w:w="108" w:type="dxa"/>
        </w:tblCellMar>
      </w:tblPr>
      <w:tblGrid>
        <w:gridCol w:w="5607"/>
        <w:gridCol w:w="4600"/>
      </w:tblGrid>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val="la" w:eastAsia="en-US" w:bidi="ar-SA"/>
              </w:rPr>
            </w:pPr>
            <w:r>
              <w:rPr>
                <w:rFonts w:eastAsia="Calibri" w:cs="Arial" w:ascii="Arial" w:hAnsi="Arial"/>
                <w:kern w:val="0"/>
                <w:sz w:val="24"/>
                <w:szCs w:val="24"/>
                <w:lang w:val="la" w:eastAsia="en-US" w:bidi="ar-SA"/>
              </w:rPr>
              <w:t>[1] Sertorius, vir acer egregiusque dux, et utendi regendique exercitus peritus fuit.</w:t>
            </w:r>
          </w:p>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en-GB" w:eastAsia="en-US" w:bidi="ar-SA"/>
              </w:rPr>
              <w:t xml:space="preserve">[2] </w:t>
            </w:r>
            <w:r>
              <w:rPr>
                <w:rFonts w:eastAsia="Calibri" w:cs="Arial" w:ascii="Arial" w:hAnsi="Arial"/>
                <w:kern w:val="0"/>
                <w:sz w:val="24"/>
                <w:szCs w:val="24"/>
                <w:lang w:val="la" w:eastAsia="en-US" w:bidi="ar-SA"/>
              </w:rPr>
              <w:t>Is in temporibus difficillimis et mentiebatur ad milites, si mendacium prodesset, et litteras compositas pro veris legebat et somnium simulabat et falsas religiones conferebat, si quid istae res eum apud militum animos adiutabant.</w:t>
            </w:r>
          </w:p>
        </w:tc>
        <w:tc>
          <w:tcPr>
            <w:tcW w:w="4600" w:type="dxa"/>
            <w:tcBorders>
              <w:top w:val="single" w:sz="4" w:space="0" w:color="000000"/>
              <w:left w:val="single" w:sz="4" w:space="0" w:color="000000"/>
              <w:bottom w:val="single" w:sz="4" w:space="0" w:color="000000"/>
              <w:right w:val="single" w:sz="4" w:space="0" w:color="000000"/>
            </w:tcBorders>
          </w:tcPr>
          <w:p>
            <w:pPr>
              <w:pStyle w:val="Vokabelangabelbs"/>
              <w:widowControl w:val="false"/>
              <w:bidi w:val="0"/>
              <w:spacing w:lineRule="auto" w:line="276" w:before="57" w:after="0"/>
              <w:ind w:left="283" w:right="0" w:hanging="283"/>
              <w:jc w:val="left"/>
              <w:rPr>
                <w:rFonts w:ascii="Liberation Serif" w:hAnsi="Liberation Serif"/>
                <w:kern w:val="0"/>
                <w:sz w:val="20"/>
                <w:szCs w:val="20"/>
                <w:lang w:val="la-VA" w:eastAsia="en-US" w:bidi="ar-SA"/>
              </w:rPr>
            </w:pPr>
            <w:r>
              <w:rPr>
                <w:kern w:val="0"/>
                <w:sz w:val="20"/>
                <w:szCs w:val="20"/>
                <w:lang w:val="la-VA" w:eastAsia="en-US" w:bidi="ar-SA"/>
              </w:rPr>
              <w:t>ēgregius: vorzüglich</w:t>
            </w:r>
          </w:p>
          <w:p>
            <w:pPr>
              <w:pStyle w:val="Vokabelangabelbs"/>
              <w:widowControl w:val="false"/>
              <w:bidi w:val="0"/>
              <w:spacing w:lineRule="auto" w:line="276" w:before="57" w:after="0"/>
              <w:ind w:left="283" w:right="0" w:hanging="283"/>
              <w:jc w:val="left"/>
              <w:rPr>
                <w:rFonts w:ascii="Liberation Serif" w:hAnsi="Liberation Serif"/>
                <w:i/>
                <w:i/>
                <w:kern w:val="0"/>
                <w:sz w:val="20"/>
                <w:szCs w:val="20"/>
                <w:lang w:val="la-VA" w:eastAsia="en-US" w:bidi="ar-SA"/>
              </w:rPr>
            </w:pPr>
            <w:r>
              <w:rPr>
                <w:i/>
                <w:kern w:val="0"/>
                <w:sz w:val="20"/>
                <w:szCs w:val="20"/>
                <w:lang w:val="la-VA" w:eastAsia="en-US" w:bidi="ar-SA"/>
              </w:rPr>
              <w:t xml:space="preserve">exercitus ist Akkusativ-Objekt zu </w:t>
            </w:r>
            <w:r>
              <w:rPr>
                <w:i w:val="false"/>
                <w:iCs w:val="false"/>
                <w:kern w:val="0"/>
                <w:sz w:val="20"/>
                <w:szCs w:val="20"/>
                <w:lang w:val="la-VA" w:eastAsia="en-US" w:bidi="ar-SA"/>
              </w:rPr>
              <w:t>regendi</w:t>
            </w:r>
            <w:r>
              <w:rPr>
                <w:i/>
                <w:kern w:val="0"/>
                <w:sz w:val="20"/>
                <w:szCs w:val="20"/>
                <w:lang w:val="la-VA" w:eastAsia="en-US" w:bidi="ar-SA"/>
              </w:rPr>
              <w:t xml:space="preserve"> und </w:t>
            </w:r>
            <w:r>
              <w:rPr>
                <w:i w:val="false"/>
                <w:iCs w:val="false"/>
                <w:kern w:val="0"/>
                <w:sz w:val="20"/>
                <w:szCs w:val="20"/>
                <w:lang w:val="la-VA" w:eastAsia="en-US" w:bidi="ar-SA"/>
              </w:rPr>
              <w:t>utendi</w:t>
            </w:r>
            <w:r>
              <w:rPr>
                <w:i/>
                <w:kern w:val="0"/>
                <w:sz w:val="20"/>
                <w:szCs w:val="20"/>
                <w:lang w:val="la-VA" w:eastAsia="en-US" w:bidi="ar-SA"/>
              </w:rPr>
              <w:t xml:space="preserve">. </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m</w:t>
            </w:r>
            <w:r>
              <w:rPr>
                <w:rFonts w:eastAsia="Calibri"/>
                <w:kern w:val="0"/>
                <w:sz w:val="20"/>
                <w:szCs w:val="20"/>
                <w:lang w:val="la-VA" w:eastAsia="en-US" w:bidi="ar-SA"/>
              </w:rPr>
              <w:t xml:space="preserve">entīrī, </w:t>
            </w:r>
            <w:r>
              <w:rPr>
                <w:rFonts w:eastAsia="Calibri"/>
                <w:kern w:val="0"/>
                <w:sz w:val="20"/>
                <w:szCs w:val="20"/>
                <w:lang w:val="la-VA" w:eastAsia="en-US" w:bidi="ar-SA"/>
              </w:rPr>
              <w:t>mentior, mentītus sum</w:t>
            </w:r>
            <w:r>
              <w:rPr>
                <w:rFonts w:eastAsia="Calibri"/>
                <w:kern w:val="0"/>
                <w:sz w:val="20"/>
                <w:szCs w:val="20"/>
                <w:lang w:val="la-VA" w:eastAsia="en-US" w:bidi="ar-SA"/>
              </w:rPr>
              <w:t>: lügen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mendācium, mendāciī, </w:t>
            </w:r>
            <w:r>
              <w:rPr>
                <w:rFonts w:eastAsia="Calibri"/>
                <w:kern w:val="0"/>
                <w:sz w:val="20"/>
                <w:szCs w:val="20"/>
                <w:lang w:val="la-VA" w:eastAsia="en-US" w:bidi="ar-SA"/>
              </w:rPr>
              <w:t>n.</w:t>
            </w:r>
            <w:r>
              <w:rPr>
                <w:rFonts w:eastAsia="Calibri"/>
                <w:kern w:val="0"/>
                <w:sz w:val="20"/>
                <w:szCs w:val="20"/>
                <w:lang w:val="la-VA" w:eastAsia="en-US" w:bidi="ar-SA"/>
              </w:rPr>
              <w:t>: die Lüge</w:t>
            </w:r>
          </w:p>
          <w:p>
            <w:pPr>
              <w:pStyle w:val="Vokabelangabelbs"/>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litterae compōsitae: erfundene Briefe</w:t>
            </w:r>
          </w:p>
          <w:p>
            <w:pPr>
              <w:pStyle w:val="Vokabelangabelbs"/>
              <w:widowControl w:val="false"/>
              <w:bidi w:val="0"/>
              <w:spacing w:lineRule="auto" w:line="276" w:before="57" w:after="0"/>
              <w:ind w:left="283" w:right="0" w:hanging="283"/>
              <w:jc w:val="left"/>
              <w:rPr>
                <w:rFonts w:ascii="Liberation Serif" w:hAnsi="Liberation Serif"/>
                <w:kern w:val="0"/>
                <w:sz w:val="20"/>
                <w:szCs w:val="20"/>
                <w:lang w:val="la-VA" w:eastAsia="en-US" w:bidi="ar-SA"/>
              </w:rPr>
            </w:pPr>
            <w:r>
              <w:rPr>
                <w:kern w:val="0"/>
                <w:sz w:val="20"/>
                <w:szCs w:val="20"/>
                <w:lang w:val="la-VA" w:eastAsia="en-US" w:bidi="ar-SA"/>
              </w:rPr>
              <w:t>falsae religiones: falsche religiöse Behauptungen</w:t>
            </w:r>
          </w:p>
          <w:p>
            <w:pPr>
              <w:pStyle w:val="Vokabelangabelbs"/>
              <w:widowControl w:val="false"/>
              <w:bidi w:val="0"/>
              <w:spacing w:lineRule="auto" w:line="276" w:before="57" w:after="0"/>
              <w:ind w:left="283" w:right="0" w:hanging="283"/>
              <w:jc w:val="left"/>
              <w:rPr>
                <w:rFonts w:ascii="Liberation Serif" w:hAnsi="Liberation Serif"/>
                <w:kern w:val="0"/>
                <w:sz w:val="20"/>
                <w:szCs w:val="20"/>
                <w:lang w:val="la-VA" w:eastAsia="en-US" w:bidi="ar-SA"/>
              </w:rPr>
            </w:pPr>
            <w:r>
              <w:rPr>
                <w:kern w:val="0"/>
                <w:sz w:val="20"/>
                <w:szCs w:val="20"/>
                <w:lang w:val="la-VA" w:eastAsia="en-US" w:bidi="ar-SA"/>
              </w:rPr>
              <w:t>cōnferre, cōnferō, contūlī, collātum: zusammentragen, erfinden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adiutāre: helfen</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336" w:before="0" w:after="60"/>
              <w:jc w:val="left"/>
              <w:textAlignment w:val="auto"/>
              <w:rPr>
                <w:rFonts w:ascii="Arial" w:hAnsi="Arial" w:eastAsia="Calibri" w:cs="Arial"/>
                <w:kern w:val="0"/>
                <w:sz w:val="24"/>
                <w:szCs w:val="24"/>
                <w:lang w:eastAsia="en-US" w:bidi="ar-SA"/>
              </w:rPr>
            </w:pPr>
            <w:r>
              <w:rPr>
                <w:rFonts w:eastAsia="Calibri" w:cs="Arial" w:ascii="Arial" w:hAnsi="Arial"/>
                <w:kern w:val="0"/>
                <w:sz w:val="24"/>
                <w:szCs w:val="24"/>
                <w:lang w:val="en-GB" w:eastAsia="en-US" w:bidi="ar-SA"/>
              </w:rPr>
              <w:t>[3]</w:t>
            </w:r>
            <w:r>
              <w:rPr>
                <w:rFonts w:eastAsia="Calibri" w:cs="Arial" w:ascii="Arial" w:hAnsi="Arial"/>
                <w:kern w:val="0"/>
                <w:sz w:val="24"/>
                <w:szCs w:val="24"/>
                <w:lang w:val="la" w:eastAsia="en-US" w:bidi="ar-SA"/>
              </w:rPr>
              <w:t xml:space="preserve"> </w:t>
            </w:r>
            <w:r>
              <w:rPr>
                <w:rFonts w:eastAsia="Calibri" w:cs="Arial" w:ascii="Arial" w:hAnsi="Arial"/>
                <w:kern w:val="0"/>
                <w:sz w:val="24"/>
                <w:szCs w:val="24"/>
                <w:lang w:val="en-GB" w:eastAsia="en-US" w:bidi="ar-SA"/>
              </w:rPr>
              <w:t xml:space="preserve">Illud </w:t>
            </w:r>
            <w:r>
              <w:rPr>
                <w:rFonts w:eastAsia="Calibri" w:cs="Arial" w:ascii="Arial" w:hAnsi="Arial"/>
                <w:kern w:val="0"/>
                <w:sz w:val="24"/>
                <w:szCs w:val="24"/>
                <w:lang w:val="la" w:eastAsia="en-US" w:bidi="ar-SA"/>
              </w:rPr>
              <w:t>adeo Sertorii nobile est</w:t>
            </w:r>
            <w:r>
              <w:rPr>
                <w:rFonts w:eastAsia="Calibri" w:cs="Arial" w:ascii="Arial" w:hAnsi="Arial"/>
                <w:kern w:val="0"/>
                <w:sz w:val="24"/>
                <w:szCs w:val="24"/>
                <w:lang w:val="en-GB" w:eastAsia="en-US" w:bidi="ar-SA"/>
              </w:rPr>
              <w:t>:</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both"/>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adeō </w:t>
            </w:r>
            <w:r>
              <w:rPr>
                <w:rFonts w:eastAsia="Calibri"/>
                <w:i/>
                <w:iCs/>
                <w:kern w:val="0"/>
                <w:sz w:val="20"/>
                <w:szCs w:val="20"/>
                <w:lang w:val="la-VA" w:eastAsia="en-US" w:bidi="ar-SA"/>
              </w:rPr>
              <w:t>(Adverb)</w:t>
            </w:r>
            <w:r>
              <w:rPr>
                <w:rFonts w:eastAsia="Calibri"/>
                <w:kern w:val="0"/>
                <w:sz w:val="20"/>
                <w:szCs w:val="20"/>
                <w:lang w:val="la-VA" w:eastAsia="en-US" w:bidi="ar-SA"/>
              </w:rPr>
              <w:t>: besonders</w:t>
            </w:r>
          </w:p>
          <w:p>
            <w:pPr>
              <w:pStyle w:val="Normal"/>
              <w:widowControl w:val="false"/>
              <w:suppressAutoHyphens w:val="false"/>
              <w:bidi w:val="0"/>
              <w:spacing w:lineRule="auto" w:line="276" w:before="57" w:after="0"/>
              <w:ind w:left="283" w:right="0" w:hanging="283"/>
              <w:jc w:val="both"/>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nōbilis, nōbile: bekannt, berühmt</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4</w:t>
            </w:r>
            <w:r>
              <w:rPr>
                <w:rFonts w:eastAsia="Calibri" w:cs="Arial" w:ascii="Arial" w:hAnsi="Arial"/>
                <w:kern w:val="0"/>
                <w:sz w:val="24"/>
                <w:szCs w:val="24"/>
                <w:lang w:val="la" w:eastAsia="en-US" w:bidi="ar-SA"/>
              </w:rPr>
              <w:t>] Cerva alba eximiae pulchritudinis et vivacissimae celeritatis a Lusitano ei quodam dono data est.</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cerva alba: die weiße Hirschkuh</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eximius: außerordentlich</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Lusitanus: der Lusitanier </w:t>
            </w:r>
            <w:r>
              <w:rPr>
                <w:rFonts w:eastAsia="Calibri"/>
                <w:i/>
                <w:iCs/>
                <w:kern w:val="0"/>
                <w:sz w:val="20"/>
                <w:szCs w:val="20"/>
                <w:lang w:val="la-VA" w:eastAsia="en-US" w:bidi="ar-SA"/>
              </w:rPr>
              <w:t>(Bewohner des heutigen Portugal)</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vīvāx, vīvācis: lebendig</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celeritās, celeritātis, f.: die Schnelligkeit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dōnō dare: als Geschenk geben</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5</w:t>
            </w:r>
            <w:r>
              <w:rPr>
                <w:rFonts w:eastAsia="Calibri" w:cs="Arial" w:ascii="Arial" w:hAnsi="Arial"/>
                <w:kern w:val="0"/>
                <w:sz w:val="24"/>
                <w:szCs w:val="24"/>
                <w:lang w:val="la" w:eastAsia="en-US" w:bidi="ar-SA"/>
              </w:rPr>
              <w:t>] Hanc sibi oblatam divinitus et instinctam Dianae numine conloqui secum monereque et docere, quae utilia factu essent, persuadere omnibus instituit ac, si quid durius videbatur, quod imperandum militibus foret, a cerva sese monitum praedicabat.</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right="0" w:hanging="0"/>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Er beschloss, alle Mitmenschen davon zu überzeugen, dass diese ihm von den Göttern dargeboten worden sei und dass sie, befeuert von der Gottheit der Diana, mit ihm spreche und ihn ermahne und ihm aufzeige, was zu tun nützlich sei. Und wenn er den Soldaten etwas befehlen musste, das ihm ziemlich hart vorkam, dann behauptete er, dass er von der Hirschkuh dazu ermahnt worden sei. </w:t>
            </w:r>
          </w:p>
        </w:tc>
      </w:tr>
      <w:tr>
        <w:trPr>
          <w:cantSplit w:val="true"/>
        </w:trPr>
        <w:tc>
          <w:tcPr>
            <w:tcW w:w="560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val="la" w:eastAsia="en-US" w:bidi="ar-SA"/>
              </w:rPr>
            </w:pPr>
            <w:r>
              <w:rPr>
                <w:rFonts w:eastAsia="Calibri" w:cs="Arial" w:ascii="Arial" w:hAnsi="Arial"/>
                <w:kern w:val="0"/>
                <w:sz w:val="24"/>
                <w:szCs w:val="24"/>
                <w:lang w:val="la" w:eastAsia="en-US" w:bidi="ar-SA"/>
              </w:rPr>
              <w:t>Id cum dixerat, universi tamquam si deo libentes parebant.</w:t>
            </w:r>
          </w:p>
        </w:tc>
        <w:tc>
          <w:tcPr>
            <w:tcW w:w="4600" w:type="dxa"/>
            <w:tcBorders>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tamquam si: wie</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libentēs: gerne</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6</w:t>
            </w:r>
            <w:r>
              <w:rPr>
                <w:rFonts w:eastAsia="Calibri" w:cs="Arial" w:ascii="Arial" w:hAnsi="Arial"/>
                <w:kern w:val="0"/>
                <w:sz w:val="24"/>
                <w:szCs w:val="24"/>
                <w:lang w:val="la" w:eastAsia="en-US" w:bidi="ar-SA"/>
              </w:rPr>
              <w:t xml:space="preserve">] Ea cerva quodam die, cum incursio esset hostium nuntiata, festinatione ac tumultu consternata in fugam se prorupit atque in palude proxima delituit et postea requisita perisse credita est. </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incursiō, incursiōnis, f.: der Angriff</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festinātio: die Eile, die Aufregung</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cōnsternāre: aufregen, in Verwirrung bringen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in fugam se prorupit: sie flüchtete</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palūs, palūdis, f.: der Sumpf</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dēlitēscere, dēlitēscō, dēlituī: sich verstecken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requīrere, requīrō, requīsīvī, requīsītum: suchen. </w:t>
            </w:r>
            <w:r>
              <w:rPr>
                <w:rFonts w:eastAsia="Calibri"/>
                <w:i/>
                <w:iCs/>
                <w:kern w:val="0"/>
                <w:sz w:val="20"/>
                <w:szCs w:val="20"/>
                <w:lang w:val="la-VA" w:eastAsia="en-US" w:bidi="ar-SA"/>
              </w:rPr>
              <w:t xml:space="preserve">Postea requisita: Übersetze das Partizip </w:t>
            </w:r>
            <w:r>
              <w:rPr>
                <w:rFonts w:eastAsia="Calibri"/>
                <w:i w:val="false"/>
                <w:iCs w:val="false"/>
                <w:kern w:val="0"/>
                <w:sz w:val="20"/>
                <w:szCs w:val="20"/>
                <w:lang w:val="la-VA" w:eastAsia="en-US" w:bidi="ar-SA"/>
              </w:rPr>
              <w:t>requisita</w:t>
            </w:r>
            <w:r>
              <w:rPr>
                <w:rFonts w:eastAsia="Calibri"/>
                <w:i/>
                <w:iCs/>
                <w:kern w:val="0"/>
                <w:sz w:val="20"/>
                <w:szCs w:val="20"/>
                <w:lang w:val="la-VA" w:eastAsia="en-US" w:bidi="ar-SA"/>
              </w:rPr>
              <w:t xml:space="preserve"> mit einem temporalen Nebensatz (nachdem...).</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perīre, pereō, periī, peritum: umkommen</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7</w:t>
            </w:r>
            <w:r>
              <w:rPr>
                <w:rFonts w:eastAsia="Calibri" w:cs="Arial" w:ascii="Arial" w:hAnsi="Arial"/>
                <w:kern w:val="0"/>
                <w:sz w:val="24"/>
                <w:szCs w:val="24"/>
                <w:lang w:val="la" w:eastAsia="en-US" w:bidi="ar-SA"/>
              </w:rPr>
              <w:t>] Neque multis diebus post inventam esse cervam Sertorio nuntiatur.</w:t>
            </w:r>
          </w:p>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8</w:t>
            </w:r>
            <w:r>
              <w:rPr>
                <w:rFonts w:eastAsia="Calibri" w:cs="Arial" w:ascii="Arial" w:hAnsi="Arial"/>
                <w:kern w:val="0"/>
                <w:sz w:val="24"/>
                <w:szCs w:val="24"/>
                <w:lang w:val="la" w:eastAsia="en-US" w:bidi="ar-SA"/>
              </w:rPr>
              <w:t>] Tum, qui nuntiaverat, iussit tacere ac, ne cui palam diceret, interminatus est praecepitque, ut eam postero die repente in eum locum, in quo ipse cum amicis esset, immitteret.</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tum qui: </w:t>
            </w:r>
            <w:r>
              <w:rPr>
                <w:rFonts w:eastAsia="Calibri"/>
                <w:i/>
                <w:iCs/>
                <w:kern w:val="0"/>
                <w:sz w:val="20"/>
                <w:szCs w:val="20"/>
                <w:lang w:val="la-VA" w:eastAsia="en-US" w:bidi="ar-SA"/>
              </w:rPr>
              <w:t>ergänze „tum eum, qui“</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palam </w:t>
            </w:r>
            <w:r>
              <w:rPr>
                <w:rFonts w:eastAsia="Calibri"/>
                <w:i/>
                <w:iCs/>
                <w:kern w:val="0"/>
                <w:sz w:val="20"/>
                <w:szCs w:val="20"/>
                <w:lang w:val="la-VA" w:eastAsia="en-US" w:bidi="ar-SA"/>
              </w:rPr>
              <w:t>(Adverb)</w:t>
            </w:r>
            <w:r>
              <w:rPr>
                <w:rFonts w:eastAsia="Calibri"/>
                <w:kern w:val="0"/>
                <w:sz w:val="20"/>
                <w:szCs w:val="20"/>
                <w:lang w:val="la-VA" w:eastAsia="en-US" w:bidi="ar-SA"/>
              </w:rPr>
              <w:t>: öffentlich</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interminārī, </w:t>
            </w:r>
            <w:r>
              <w:rPr>
                <w:rFonts w:eastAsia="Calibri"/>
                <w:kern w:val="0"/>
                <w:sz w:val="20"/>
                <w:szCs w:val="20"/>
                <w:lang w:val="la-VA" w:eastAsia="en-US" w:bidi="ar-SA"/>
              </w:rPr>
              <w:t>interminor, interminātus sum</w:t>
            </w:r>
            <w:r>
              <w:rPr>
                <w:rFonts w:eastAsia="Calibri"/>
                <w:kern w:val="0"/>
                <w:sz w:val="20"/>
                <w:szCs w:val="20"/>
                <w:lang w:val="la-VA" w:eastAsia="en-US" w:bidi="ar-SA"/>
              </w:rPr>
              <w:t xml:space="preserve">: </w:t>
            </w:r>
            <w:r>
              <w:rPr>
                <w:rFonts w:eastAsia="Calibri"/>
                <w:i/>
                <w:kern w:val="0"/>
                <w:sz w:val="20"/>
                <w:szCs w:val="20"/>
                <w:lang w:val="la-VA" w:eastAsia="en-US" w:bidi="ar-SA"/>
              </w:rPr>
              <w:t>jemandem etwa</w:t>
            </w:r>
            <w:r>
              <w:rPr>
                <w:rFonts w:eastAsia="Calibri"/>
                <w:kern w:val="0"/>
                <w:sz w:val="20"/>
                <w:szCs w:val="20"/>
                <w:lang w:val="la-VA" w:eastAsia="en-US" w:bidi="ar-SA"/>
              </w:rPr>
              <w:t xml:space="preserve">s einschärfen, </w:t>
            </w:r>
            <w:r>
              <w:rPr>
                <w:rFonts w:eastAsia="Calibri"/>
                <w:i/>
                <w:kern w:val="0"/>
                <w:sz w:val="20"/>
                <w:szCs w:val="20"/>
                <w:lang w:val="la-VA" w:eastAsia="en-US" w:bidi="ar-SA"/>
              </w:rPr>
              <w:t>jemandem etwas</w:t>
            </w:r>
            <w:r>
              <w:rPr>
                <w:rFonts w:eastAsia="Calibri"/>
                <w:kern w:val="0"/>
                <w:sz w:val="20"/>
                <w:szCs w:val="20"/>
                <w:lang w:val="la-VA" w:eastAsia="en-US" w:bidi="ar-SA"/>
              </w:rPr>
              <w:t xml:space="preserve"> dringend befehlen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praecipere, praecipiō, praecēpī, praeceptum: </w:t>
            </w:r>
            <w:r>
              <w:rPr>
                <w:rFonts w:eastAsia="Calibri"/>
                <w:i/>
                <w:iCs/>
                <w:kern w:val="0"/>
                <w:sz w:val="20"/>
                <w:szCs w:val="20"/>
                <w:lang w:val="la-VA" w:eastAsia="en-US" w:bidi="ar-SA"/>
              </w:rPr>
              <w:t>jemanden</w:t>
            </w:r>
            <w:r>
              <w:rPr>
                <w:rFonts w:eastAsia="Calibri"/>
                <w:kern w:val="0"/>
                <w:sz w:val="20"/>
                <w:szCs w:val="20"/>
                <w:lang w:val="la-VA" w:eastAsia="en-US" w:bidi="ar-SA"/>
              </w:rPr>
              <w:t xml:space="preserve"> anweisen, </w:t>
            </w:r>
            <w:r>
              <w:rPr>
                <w:rFonts w:eastAsia="Calibri"/>
                <w:i/>
                <w:iCs/>
                <w:kern w:val="0"/>
                <w:sz w:val="20"/>
                <w:szCs w:val="20"/>
                <w:lang w:val="la-VA" w:eastAsia="en-US" w:bidi="ar-SA"/>
              </w:rPr>
              <w:t>jemandem etwas</w:t>
            </w:r>
            <w:r>
              <w:rPr>
                <w:rFonts w:eastAsia="Calibri"/>
                <w:kern w:val="0"/>
                <w:sz w:val="20"/>
                <w:szCs w:val="20"/>
                <w:lang w:val="la-VA" w:eastAsia="en-US" w:bidi="ar-SA"/>
              </w:rPr>
              <w:t xml:space="preserve"> befehlen</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val="la" w:eastAsia="en-US" w:bidi="ar-SA"/>
              </w:rPr>
            </w:pPr>
            <w:r>
              <w:rPr>
                <w:rFonts w:eastAsia="Calibri" w:cs="Arial" w:ascii="Arial" w:hAnsi="Arial"/>
                <w:kern w:val="0"/>
                <w:sz w:val="24"/>
                <w:szCs w:val="24"/>
                <w:lang w:val="la" w:eastAsia="en-US" w:bidi="ar-SA"/>
              </w:rPr>
              <w:t>Admissis deinde amicis postridie visum sibi esse ait in quiete cervam, quae perisset, ad se reverti et, ut prius consuerat, quod opus esset facto, praedicere.</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opus est: es ist nötig </w:t>
            </w:r>
            <w:r>
              <w:rPr>
                <w:rFonts w:eastAsia="Calibri"/>
                <w:i/>
                <w:iCs/>
                <w:kern w:val="0"/>
                <w:sz w:val="20"/>
                <w:szCs w:val="20"/>
                <w:lang w:val="la-VA" w:eastAsia="en-US" w:bidi="ar-SA"/>
              </w:rPr>
              <w:t xml:space="preserve">(mit Objekt im Abl.; </w:t>
            </w:r>
            <w:r>
              <w:rPr>
                <w:rFonts w:eastAsia="Calibri"/>
                <w:i/>
                <w:iCs/>
                <w:kern w:val="0"/>
                <w:sz w:val="20"/>
                <w:szCs w:val="20"/>
                <w:lang w:val="la-VA" w:eastAsia="en-US" w:bidi="ar-SA"/>
              </w:rPr>
              <w:t>quod opus esset facto: was zu tun wäre</w:t>
            </w:r>
            <w:r>
              <w:rPr>
                <w:rFonts w:eastAsia="Calibri"/>
                <w:i/>
                <w:iCs/>
                <w:kern w:val="0"/>
                <w:sz w:val="20"/>
                <w:szCs w:val="20"/>
                <w:lang w:val="la-VA" w:eastAsia="en-US" w:bidi="ar-SA"/>
              </w:rPr>
              <w: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postrīdiē </w:t>
            </w:r>
            <w:r>
              <w:rPr>
                <w:rFonts w:eastAsia="Calibri"/>
                <w:i/>
                <w:iCs/>
                <w:kern w:val="0"/>
                <w:sz w:val="20"/>
                <w:szCs w:val="20"/>
                <w:lang w:val="la-VA" w:eastAsia="en-US" w:bidi="ar-SA"/>
              </w:rPr>
              <w:t>(Adverb)</w:t>
            </w:r>
            <w:r>
              <w:rPr>
                <w:rFonts w:eastAsia="Calibri"/>
                <w:kern w:val="0"/>
                <w:sz w:val="20"/>
                <w:szCs w:val="20"/>
                <w:lang w:val="la-VA" w:eastAsia="en-US" w:bidi="ar-SA"/>
              </w:rPr>
              <w:t>: am nächsten Tag</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quiēs, quiētis, f.: der Schlaf, der Traum</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cōnsuēscere, cōnsuēscō, cōnsuēvī/cōnsuī, cōnsuētum: sich angewöhnen; consuevisse: gewohnt sein. </w:t>
            </w:r>
            <w:r>
              <w:rPr>
                <w:rFonts w:eastAsia="Calibri"/>
                <w:i/>
                <w:iCs/>
                <w:kern w:val="0"/>
                <w:sz w:val="20"/>
                <w:szCs w:val="20"/>
                <w:lang w:val="la-VA" w:eastAsia="en-US" w:bidi="ar-SA"/>
              </w:rPr>
              <w:t>Die Form</w:t>
            </w:r>
            <w:r>
              <w:rPr>
                <w:rFonts w:eastAsia="Calibri"/>
                <w:kern w:val="0"/>
                <w:sz w:val="20"/>
                <w:szCs w:val="20"/>
                <w:lang w:val="la-VA" w:eastAsia="en-US" w:bidi="ar-SA"/>
              </w:rPr>
              <w:t xml:space="preserve"> cōnsuerat </w:t>
            </w:r>
            <w:r>
              <w:rPr>
                <w:rFonts w:eastAsia="Calibri"/>
                <w:i/>
                <w:iCs/>
                <w:kern w:val="0"/>
                <w:sz w:val="20"/>
                <w:szCs w:val="20"/>
                <w:lang w:val="la-VA" w:eastAsia="en-US" w:bidi="ar-SA"/>
              </w:rPr>
              <w:t>ist Plusquamperfekt und mit dem Präteritum zu übersetzen</w:t>
            </w:r>
            <w:r>
              <w:rPr>
                <w:rFonts w:eastAsia="Calibri"/>
                <w:kern w:val="0"/>
                <w:sz w:val="20"/>
                <w:szCs w:val="20"/>
                <w:lang w:val="la-VA" w:eastAsia="en-US" w:bidi="ar-SA"/>
              </w:rPr>
              <w:t xml:space="preserve"> (sie war gewohnt)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opus est: es ist nötig</w:t>
            </w:r>
            <w:r>
              <w:rPr>
                <w:rStyle w:val="Betont"/>
                <w:rFonts w:eastAsia="Calibri"/>
                <w:kern w:val="0"/>
                <w:sz w:val="20"/>
                <w:szCs w:val="20"/>
                <w:lang w:val="la-VA" w:eastAsia="en-US" w:bidi="ar-SA"/>
              </w:rPr>
              <w:t xml:space="preserve"> (mit Objekt im Abl.)</w:t>
            </w:r>
            <w:r>
              <w:rPr>
                <w:rFonts w:eastAsia="Calibri"/>
                <w:kern w:val="0"/>
                <w:sz w:val="20"/>
                <w:szCs w:val="20"/>
                <w:lang w:val="la-VA" w:eastAsia="en-US" w:bidi="ar-SA"/>
              </w:rPr>
              <w:t xml:space="preserve">. opus est facto: es ist nötig zu tun, man muss tun </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9</w:t>
            </w:r>
            <w:r>
              <w:rPr>
                <w:rFonts w:eastAsia="Calibri" w:cs="Arial" w:ascii="Arial" w:hAnsi="Arial"/>
                <w:kern w:val="0"/>
                <w:sz w:val="24"/>
                <w:szCs w:val="24"/>
                <w:lang w:val="la" w:eastAsia="en-US" w:bidi="ar-SA"/>
              </w:rPr>
              <w:t>] Tum servo, quod imperaverat, significat, cerva emissa in cubiculum Sertorii introrupit, clamor factus et orta admiratio est.</w:t>
            </w:r>
          </w:p>
        </w:tc>
        <w:tc>
          <w:tcPr>
            <w:tcW w:w="4600" w:type="dxa"/>
            <w:tcBorders>
              <w:top w:val="single" w:sz="4" w:space="0" w:color="000000"/>
              <w:left w:val="single" w:sz="4" w:space="0" w:color="000000"/>
              <w:bottom w:val="single" w:sz="4" w:space="0" w:color="000000"/>
              <w:right w:val="single" w:sz="4" w:space="0" w:color="000000"/>
            </w:tcBorders>
          </w:tcPr>
          <w:p>
            <w:pPr>
              <w:pStyle w:val="Textkrper"/>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significare </w:t>
            </w:r>
            <w:r>
              <w:rPr>
                <w:rStyle w:val="Betont"/>
                <w:rFonts w:eastAsia="Calibri"/>
                <w:kern w:val="0"/>
                <w:sz w:val="20"/>
                <w:szCs w:val="20"/>
                <w:lang w:val="la-VA" w:eastAsia="en-US" w:bidi="ar-SA"/>
              </w:rPr>
              <w:t>(mit Dativ-Objekt)</w:t>
            </w:r>
            <w:r>
              <w:rPr>
                <w:rFonts w:eastAsia="Calibri"/>
                <w:kern w:val="0"/>
                <w:sz w:val="20"/>
                <w:szCs w:val="20"/>
                <w:lang w:val="la-VA" w:eastAsia="en-US" w:bidi="ar-SA"/>
              </w:rPr>
              <w:t xml:space="preserve">: </w:t>
            </w:r>
            <w:r>
              <w:rPr>
                <w:rStyle w:val="Betont"/>
                <w:rFonts w:eastAsia="Calibri"/>
                <w:kern w:val="0"/>
                <w:sz w:val="20"/>
                <w:szCs w:val="20"/>
                <w:lang w:val="la-VA" w:eastAsia="en-US" w:bidi="ar-SA"/>
              </w:rPr>
              <w:t>(jemandem)</w:t>
            </w:r>
            <w:r>
              <w:rPr>
                <w:rFonts w:eastAsia="Calibri"/>
                <w:kern w:val="0"/>
                <w:sz w:val="20"/>
                <w:szCs w:val="20"/>
                <w:lang w:val="la-VA" w:eastAsia="en-US" w:bidi="ar-SA"/>
              </w:rPr>
              <w:t xml:space="preserve"> ein Zeichen geben </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c</w:t>
            </w:r>
            <w:r>
              <w:rPr>
                <w:rFonts w:eastAsia="Calibri"/>
                <w:kern w:val="0"/>
                <w:sz w:val="20"/>
                <w:szCs w:val="20"/>
                <w:lang w:val="la-VA" w:eastAsia="en-US" w:bidi="ar-SA"/>
              </w:rPr>
              <w:t xml:space="preserve">ubiculum, cubiculī, </w:t>
            </w:r>
            <w:r>
              <w:rPr>
                <w:rFonts w:eastAsia="Calibri"/>
                <w:kern w:val="0"/>
                <w:sz w:val="20"/>
                <w:szCs w:val="20"/>
                <w:lang w:val="la-VA" w:eastAsia="en-US" w:bidi="ar-SA"/>
              </w:rPr>
              <w:t>n.</w:t>
            </w:r>
            <w:r>
              <w:rPr>
                <w:rFonts w:eastAsia="Calibri"/>
                <w:kern w:val="0"/>
                <w:sz w:val="20"/>
                <w:szCs w:val="20"/>
                <w:lang w:val="la-VA" w:eastAsia="en-US" w:bidi="ar-SA"/>
              </w:rPr>
              <w:t>: das Zimmer</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intrōrumpere, intrōrumpō, intrōrūpī, intrōruptum: hineinstürzen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orīrī, orior, ortus/orta est: entstehen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admīrātiō, admīrātiōnis, f.: die Bewunderung</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val="la" w:eastAsia="en-US" w:bidi="ar-SA"/>
              </w:rPr>
            </w:pPr>
            <w:r>
              <w:rPr>
                <w:rFonts w:eastAsia="Calibri" w:cs="Arial" w:ascii="Arial" w:hAnsi="Arial"/>
                <w:kern w:val="0"/>
                <w:sz w:val="24"/>
                <w:szCs w:val="24"/>
                <w:lang w:val="la" w:eastAsia="en-US" w:bidi="ar-SA"/>
              </w:rPr>
              <w:t xml:space="preserve">Eaque hominum barbarorum credulitas Sertorio in magnis rebus magno usui fuit. </w:t>
            </w:r>
          </w:p>
        </w:tc>
        <w:tc>
          <w:tcPr>
            <w:tcW w:w="46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crēdulitās, crēdulitātis, f.: die Leichtgläubigkeit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ūsuī esse </w:t>
            </w:r>
            <w:r>
              <w:rPr>
                <w:rFonts w:eastAsia="Calibri"/>
                <w:i/>
                <w:iCs/>
                <w:kern w:val="0"/>
                <w:sz w:val="20"/>
                <w:szCs w:val="20"/>
                <w:lang w:val="la-VA" w:eastAsia="en-US" w:bidi="ar-SA"/>
              </w:rPr>
              <w:t>(mit Dativ)</w:t>
            </w:r>
            <w:r>
              <w:rPr>
                <w:rFonts w:eastAsia="Calibri"/>
                <w:kern w:val="0"/>
                <w:sz w:val="20"/>
                <w:szCs w:val="20"/>
                <w:lang w:val="la-VA" w:eastAsia="en-US" w:bidi="ar-SA"/>
              </w:rPr>
              <w:t xml:space="preserve">: </w:t>
            </w:r>
            <w:r>
              <w:rPr>
                <w:rFonts w:eastAsia="Calibri"/>
                <w:i/>
                <w:iCs/>
                <w:kern w:val="0"/>
                <w:sz w:val="20"/>
                <w:szCs w:val="20"/>
                <w:lang w:val="la-VA" w:eastAsia="en-US" w:bidi="ar-SA"/>
              </w:rPr>
              <w:t>jemandem</w:t>
            </w:r>
            <w:r>
              <w:rPr>
                <w:rFonts w:eastAsia="Calibri"/>
                <w:kern w:val="0"/>
                <w:sz w:val="20"/>
                <w:szCs w:val="20"/>
                <w:lang w:val="la-VA" w:eastAsia="en-US" w:bidi="ar-SA"/>
              </w:rPr>
              <w:t xml:space="preserve"> nützlich sein</w:t>
            </w:r>
          </w:p>
        </w:tc>
      </w:tr>
      <w:tr>
        <w:trPr>
          <w:cantSplit w:val="true"/>
        </w:trPr>
        <w:tc>
          <w:tcPr>
            <w:tcW w:w="56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336" w:before="0" w:after="60"/>
              <w:jc w:val="left"/>
              <w:textAlignment w:val="baseline"/>
              <w:rPr>
                <w:rFonts w:ascii="Arial" w:hAnsi="Arial" w:eastAsia="Calibri" w:cs="Arial"/>
                <w:kern w:val="0"/>
                <w:sz w:val="24"/>
                <w:szCs w:val="24"/>
                <w:lang w:eastAsia="en-US" w:bidi="ar-SA"/>
              </w:rPr>
            </w:pPr>
            <w:r>
              <w:rPr>
                <w:rFonts w:eastAsia="Calibri" w:cs="Arial" w:ascii="Arial" w:hAnsi="Arial"/>
                <w:kern w:val="0"/>
                <w:sz w:val="24"/>
                <w:szCs w:val="24"/>
                <w:lang w:val="la" w:eastAsia="en-US" w:bidi="ar-SA"/>
              </w:rPr>
              <w:t>[</w:t>
            </w:r>
            <w:r>
              <w:rPr>
                <w:rFonts w:eastAsia="Calibri" w:cs="Arial" w:ascii="Arial" w:hAnsi="Arial"/>
                <w:kern w:val="0"/>
                <w:sz w:val="24"/>
                <w:szCs w:val="24"/>
                <w:lang w:val="en-GB" w:eastAsia="en-US" w:bidi="ar-SA"/>
              </w:rPr>
              <w:t>10</w:t>
            </w:r>
            <w:r>
              <w:rPr>
                <w:rFonts w:eastAsia="Calibri" w:cs="Arial" w:ascii="Arial" w:hAnsi="Arial"/>
                <w:kern w:val="0"/>
                <w:sz w:val="24"/>
                <w:szCs w:val="24"/>
                <w:lang w:val="la" w:eastAsia="en-US" w:bidi="ar-SA"/>
              </w:rPr>
              <w:t>] Memoriae proditum est ex his nationibus, quae cum Sertorio faciebant, cum multis proeliis superatus esset, neminem umquam ab eo descivisse, quamquam id genus hominum esset mobilissimum.</w:t>
            </w:r>
          </w:p>
        </w:tc>
        <w:tc>
          <w:tcPr>
            <w:tcW w:w="4600" w:type="dxa"/>
            <w:tcBorders>
              <w:top w:val="single" w:sz="4" w:space="0" w:color="000000"/>
              <w:left w:val="single" w:sz="4" w:space="0" w:color="000000"/>
              <w:bottom w:val="single" w:sz="4" w:space="0" w:color="000000"/>
              <w:right w:val="single" w:sz="4" w:space="0" w:color="000000"/>
            </w:tcBorders>
          </w:tcPr>
          <w:p>
            <w:pPr>
              <w:pStyle w:val="Textkrper"/>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memoriae proditum est: es ist überliefert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facere </w:t>
            </w:r>
            <w:r>
              <w:rPr>
                <w:rFonts w:eastAsia="Calibri"/>
                <w:i/>
                <w:iCs/>
                <w:kern w:val="0"/>
                <w:sz w:val="20"/>
                <w:szCs w:val="20"/>
                <w:lang w:val="la-VA" w:eastAsia="en-US" w:bidi="ar-SA"/>
              </w:rPr>
              <w:t>cum</w:t>
            </w:r>
            <w:r>
              <w:rPr>
                <w:rFonts w:eastAsia="Calibri"/>
                <w:kern w:val="0"/>
                <w:sz w:val="20"/>
                <w:szCs w:val="20"/>
                <w:lang w:val="la-VA" w:eastAsia="en-US" w:bidi="ar-SA"/>
              </w:rPr>
              <w:t xml:space="preserve">: sich </w:t>
            </w:r>
            <w:r>
              <w:rPr>
                <w:rFonts w:eastAsia="Calibri"/>
                <w:i/>
                <w:iCs/>
                <w:kern w:val="0"/>
                <w:sz w:val="20"/>
                <w:szCs w:val="20"/>
                <w:lang w:val="la-VA" w:eastAsia="en-US" w:bidi="ar-SA"/>
              </w:rPr>
              <w:t>mit jemandem</w:t>
            </w:r>
            <w:r>
              <w:rPr>
                <w:rFonts w:eastAsia="Calibri"/>
                <w:kern w:val="0"/>
                <w:sz w:val="20"/>
                <w:szCs w:val="20"/>
                <w:lang w:val="la-VA" w:eastAsia="en-US" w:bidi="ar-SA"/>
              </w:rPr>
              <w:t xml:space="preserve"> zusammenschließen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 xml:space="preserve">proelium, proeliī, </w:t>
            </w:r>
            <w:r>
              <w:rPr>
                <w:rFonts w:eastAsia="Calibri"/>
                <w:kern w:val="0"/>
                <w:sz w:val="20"/>
                <w:szCs w:val="20"/>
                <w:lang w:val="la-VA" w:eastAsia="en-US" w:bidi="ar-SA"/>
              </w:rPr>
              <w:t>n.</w:t>
            </w:r>
            <w:r>
              <w:rPr>
                <w:rFonts w:eastAsia="Calibri"/>
                <w:kern w:val="0"/>
                <w:sz w:val="20"/>
                <w:szCs w:val="20"/>
                <w:lang w:val="la-VA" w:eastAsia="en-US" w:bidi="ar-SA"/>
              </w:rPr>
              <w:t>: das Gefecht</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neminem</w:t>
            </w:r>
            <w:r>
              <w:rPr>
                <w:rFonts w:eastAsia="Calibri"/>
                <w:i/>
                <w:iCs/>
                <w:kern w:val="0"/>
                <w:sz w:val="20"/>
                <w:szCs w:val="20"/>
                <w:lang w:val="la-VA" w:eastAsia="en-US" w:bidi="ar-SA"/>
              </w:rPr>
              <w:t xml:space="preserve"> ist der Akkusativ des Aci</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dēscīscere, dēscīscō, dēscīvi, dēscītum: abtrünnig werden</w:t>
            </w:r>
          </w:p>
          <w:p>
            <w:pPr>
              <w:pStyle w:val="Normal"/>
              <w:widowControl w:val="false"/>
              <w:suppressAutoHyphens w:val="false"/>
              <w:bidi w:val="0"/>
              <w:spacing w:lineRule="auto" w:line="276" w:before="57" w:after="0"/>
              <w:ind w:left="283" w:right="0" w:hanging="283"/>
              <w:jc w:val="left"/>
              <w:textAlignment w:val="auto"/>
              <w:rPr>
                <w:rFonts w:ascii="Liberation Serif" w:hAnsi="Liberation Serif" w:eastAsia="Calibri"/>
                <w:kern w:val="0"/>
                <w:sz w:val="20"/>
                <w:szCs w:val="20"/>
                <w:lang w:val="la-VA" w:eastAsia="en-US" w:bidi="ar-SA"/>
              </w:rPr>
            </w:pPr>
            <w:r>
              <w:rPr>
                <w:rFonts w:eastAsia="Calibri"/>
                <w:kern w:val="0"/>
                <w:sz w:val="20"/>
                <w:szCs w:val="20"/>
                <w:lang w:val="la-VA" w:eastAsia="en-US" w:bidi="ar-SA"/>
              </w:rPr>
              <w:t>mōbilis, mōbile: wankelmütig</w:t>
            </w:r>
            <w:bookmarkStart w:id="0" w:name="_Hlk93779526"/>
            <w:bookmarkEnd w:id="0"/>
          </w:p>
        </w:tc>
      </w:tr>
    </w:tbl>
    <w:p>
      <w:pPr>
        <w:pStyle w:val="Berschrift1"/>
        <w:numPr>
          <w:ilvl w:val="0"/>
          <w:numId w:val="0"/>
        </w:numPr>
        <w:bidi w:val="0"/>
        <w:spacing w:before="240" w:after="120"/>
        <w:jc w:val="left"/>
        <w:outlineLvl w:val="0"/>
        <w:rPr/>
      </w:pPr>
      <w:r>
        <w:rPr/>
        <w:t>Aufgaben zur Interpretation</w:t>
      </w:r>
    </w:p>
    <w:p>
      <w:pPr>
        <w:pStyle w:val="Textkrper"/>
        <w:numPr>
          <w:ilvl w:val="0"/>
          <w:numId w:val="2"/>
        </w:numPr>
        <w:tabs>
          <w:tab w:val="clear" w:pos="709"/>
          <w:tab w:val="left" w:pos="707" w:leader="none"/>
        </w:tabs>
        <w:bidi w:val="0"/>
        <w:spacing w:lineRule="auto" w:line="360" w:before="57" w:after="113"/>
        <w:ind w:left="707" w:hanging="283"/>
        <w:jc w:val="left"/>
        <w:rPr/>
      </w:pPr>
      <w:r>
        <w:rPr/>
        <w:t xml:space="preserve">Aufgabe zur Gliederung: Gliedere diese Geschichte, indem du für jeden Abschnitt eine kurze Überschrift formulierst. Weitere Möglichkeiten der Gliederung findest du im Arbeitsblatt </w:t>
      </w:r>
      <w:hyperlink r:id="rId4" w:tgtFrame="_blank">
        <w:r>
          <w:rPr>
            <w:rStyle w:val="Internetverknpfung"/>
            <w:rFonts w:cs="Times New Roman"/>
            <w:i/>
            <w:iCs/>
            <w:color w:val="000080"/>
            <w:sz w:val="24"/>
            <w:szCs w:val="24"/>
            <w:lang w:val="zxx" w:eastAsia="zxx" w:bidi="zxx"/>
          </w:rPr>
          <w:t>Texte gliedern und Strukturen erkennen</w:t>
        </w:r>
      </w:hyperlink>
      <w:r>
        <w:rPr/>
        <w:t xml:space="preserve">. </w:t>
      </w:r>
    </w:p>
    <w:p>
      <w:pPr>
        <w:pStyle w:val="Textkrper"/>
        <w:numPr>
          <w:ilvl w:val="0"/>
          <w:numId w:val="2"/>
        </w:numPr>
        <w:tabs>
          <w:tab w:val="clear" w:pos="709"/>
          <w:tab w:val="left" w:pos="707" w:leader="none"/>
        </w:tabs>
        <w:bidi w:val="0"/>
        <w:spacing w:lineRule="auto" w:line="360" w:before="57" w:after="113"/>
        <w:ind w:left="707" w:hanging="283"/>
        <w:jc w:val="left"/>
        <w:rPr/>
      </w:pPr>
      <w:r>
        <w:rPr/>
        <w:t xml:space="preserve">Aufgaben zu den Stilmitteln: </w:t>
      </w:r>
      <w:r>
        <w:rPr/>
        <w:t xml:space="preserve">Die Absätze 1 bis 3 enthalten diese Stilmittel: Chiasmus, Polysyndeton und Parallelismus. </w:t>
      </w:r>
      <w:r>
        <w:rPr/>
        <w:t xml:space="preserve">Suche </w:t>
      </w:r>
      <w:r>
        <w:rPr>
          <w:rStyle w:val="Showbody"/>
          <w:sz w:val="24"/>
          <w:szCs w:val="24"/>
          <w:lang w:val="de-DE" w:eastAsia="de-DE" w:bidi="ar-SA"/>
        </w:rPr>
        <w:t xml:space="preserve">mithilfe der </w:t>
      </w:r>
      <w:hyperlink r:id="rId5" w:tgtFrame="_blank">
        <w:r>
          <w:rPr>
            <w:rStyle w:val="Internetverknpfung"/>
            <w:sz w:val="24"/>
            <w:szCs w:val="24"/>
            <w:lang w:val="zxx" w:eastAsia="de-DE" w:bidi="ar-SA"/>
          </w:rPr>
          <w:t>Liste der Stilmittel</w:t>
        </w:r>
      </w:hyperlink>
      <w:r>
        <w:rPr>
          <w:rStyle w:val="Showbody"/>
          <w:sz w:val="24"/>
          <w:szCs w:val="24"/>
          <w:lang w:val="de-DE" w:eastAsia="de-DE" w:bidi="ar-SA"/>
        </w:rPr>
        <w:t xml:space="preserve"> diese Stilmittel im lateinischen Text heraus.</w:t>
      </w:r>
    </w:p>
    <w:p>
      <w:pPr>
        <w:pStyle w:val="Textkrper"/>
        <w:numPr>
          <w:ilvl w:val="0"/>
          <w:numId w:val="2"/>
        </w:numPr>
        <w:tabs>
          <w:tab w:val="clear" w:pos="709"/>
          <w:tab w:val="left" w:pos="707" w:leader="none"/>
        </w:tabs>
        <w:bidi w:val="0"/>
        <w:spacing w:lineRule="auto" w:line="360" w:before="57" w:after="113"/>
        <w:ind w:left="707" w:hanging="283"/>
        <w:jc w:val="left"/>
        <w:rPr/>
      </w:pPr>
      <w:r>
        <w:rPr/>
        <w:t>Aufgabe zur Charakterisierung der Figuren.</w:t>
        <w:br/>
        <w:t xml:space="preserve">Unterscheide bei diesen Aufgaben die </w:t>
      </w:r>
      <w:r>
        <w:rPr>
          <w:rStyle w:val="Starkbetont"/>
        </w:rPr>
        <w:t>direkte Charakterisierung</w:t>
      </w:r>
      <w:r>
        <w:rPr/>
        <w:t xml:space="preserve"> von der </w:t>
      </w:r>
      <w:r>
        <w:rPr>
          <w:rStyle w:val="Starkbetont"/>
        </w:rPr>
        <w:t>indirekten Charak</w:t>
      </w:r>
      <w:r>
        <w:rPr>
          <w:rStyle w:val="Starkbetont"/>
        </w:rPr>
        <w:t>t</w:t>
      </w:r>
      <w:r>
        <w:rPr>
          <w:rStyle w:val="Starkbetont"/>
        </w:rPr>
        <w:t xml:space="preserve">erisierung. </w:t>
      </w:r>
      <w:r>
        <w:rPr/>
        <w:t xml:space="preserve">Verwende für diese Aufgabe das </w:t>
      </w:r>
      <w:hyperlink r:id="rId6" w:tgtFrame="_blank">
        <w:r>
          <w:rPr>
            <w:rStyle w:val="Internetverknpfung"/>
            <w:i/>
            <w:iCs/>
            <w:color w:val="000080"/>
            <w:sz w:val="24"/>
            <w:szCs w:val="24"/>
            <w:lang w:val="zxx" w:eastAsia="zxx" w:bidi="zxx"/>
          </w:rPr>
          <w:t xml:space="preserve">Arbeitsblatt </w:t>
        </w:r>
      </w:hyperlink>
      <w:hyperlink r:id="rId7" w:tgtFrame="_blank">
        <w:r>
          <w:rPr>
            <w:rStyle w:val="Internetverknpfung"/>
            <w:i/>
            <w:iCs/>
            <w:color w:val="000080"/>
            <w:sz w:val="24"/>
            <w:szCs w:val="24"/>
            <w:lang w:val="zxx" w:eastAsia="zxx" w:bidi="zxx"/>
          </w:rPr>
          <w:t>Direkte und indirekte</w:t>
        </w:r>
      </w:hyperlink>
      <w:hyperlink r:id="rId8" w:tgtFrame="_blank">
        <w:r>
          <w:rPr>
            <w:rStyle w:val="Internetverknpfung"/>
            <w:b/>
            <w:b/>
            <w:bCs/>
            <w:i/>
            <w:iCs/>
          </w:rPr>
          <w:t xml:space="preserve"> </w:t>
        </w:r>
      </w:hyperlink>
      <w:hyperlink r:id="rId9" w:tgtFrame="_blank">
        <w:r>
          <w:rPr>
            <w:rStyle w:val="Internetverknpfung"/>
            <w:i/>
            <w:iCs/>
            <w:color w:val="000080"/>
            <w:sz w:val="24"/>
            <w:szCs w:val="24"/>
            <w:lang w:val="zxx" w:eastAsia="zxx" w:bidi="zxx"/>
          </w:rPr>
          <w:t>Charakterisierung</w:t>
        </w:r>
      </w:hyperlink>
      <w:r>
        <w:rPr>
          <w:i/>
          <w:iCs/>
        </w:rPr>
        <w:t>.</w:t>
      </w:r>
    </w:p>
    <w:p>
      <w:pPr>
        <w:pStyle w:val="Textkrper"/>
        <w:numPr>
          <w:ilvl w:val="1"/>
          <w:numId w:val="2"/>
        </w:numPr>
        <w:tabs>
          <w:tab w:val="clear" w:pos="709"/>
          <w:tab w:val="left" w:pos="1414" w:leader="none"/>
        </w:tabs>
        <w:bidi w:val="0"/>
        <w:spacing w:lineRule="auto" w:line="360" w:before="57" w:after="113"/>
        <w:ind w:left="1414" w:hanging="283"/>
        <w:jc w:val="left"/>
        <w:rPr/>
      </w:pPr>
      <w:r>
        <w:rPr/>
        <w:t xml:space="preserve">Untersuche, wie Sertorius in dieser Geschichte vom Erzähler charakterisiert wird. </w:t>
      </w:r>
    </w:p>
    <w:p>
      <w:pPr>
        <w:pStyle w:val="Textkrper"/>
        <w:numPr>
          <w:ilvl w:val="1"/>
          <w:numId w:val="2"/>
        </w:numPr>
        <w:tabs>
          <w:tab w:val="clear" w:pos="709"/>
          <w:tab w:val="left" w:pos="1414" w:leader="none"/>
        </w:tabs>
        <w:bidi w:val="0"/>
        <w:spacing w:lineRule="auto" w:line="360" w:before="57" w:after="113"/>
        <w:ind w:left="1414" w:hanging="283"/>
        <w:jc w:val="left"/>
        <w:rPr/>
      </w:pPr>
      <w:r>
        <w:rPr/>
        <w:t xml:space="preserve">Am Ende der Geschichte geht der Erzähler auf die </w:t>
      </w:r>
      <w:r>
        <w:rPr>
          <w:rStyle w:val="Betont"/>
        </w:rPr>
        <w:t>barbari homines</w:t>
      </w:r>
      <w:r>
        <w:rPr/>
        <w:t xml:space="preserve"> Untersuche auch hier, wie diese Menschen charakterisiert werden. Überprüfe (und diskutiere) hierzu diese Interpretationsthese: </w:t>
        <w:br/>
        <w:t xml:space="preserve">„Der Erzähler ist negativ gegenüber den </w:t>
      </w:r>
      <w:r>
        <w:rPr>
          <w:rStyle w:val="Betont"/>
        </w:rPr>
        <w:t>barbari</w:t>
      </w:r>
      <w:r>
        <w:rPr/>
        <w:t xml:space="preserve"> eingestellt und hält sie in verallgemeinernder Weise für geistig minderwertig. Damit zeigt er das Vorurteil vieler gebildeter Römer gegenüber den Menschen aus den unterworfenen Gebieten.“ </w:t>
      </w:r>
    </w:p>
    <w:p>
      <w:pPr>
        <w:pStyle w:val="HorizontaleLinie"/>
        <w:suppressLineNumbers/>
        <w:pBdr>
          <w:bottom w:val="double" w:sz="2" w:space="0" w:color="808080"/>
        </w:pBdr>
        <w:bidi w:val="0"/>
        <w:spacing w:before="0" w:after="283"/>
        <w:jc w:val="left"/>
        <w:rPr/>
      </w:pPr>
      <w:r>
        <w:rPr/>
      </w:r>
    </w:p>
    <w:p>
      <w:pPr>
        <w:pStyle w:val="Textkrper"/>
        <w:bidi w:val="0"/>
        <w:jc w:val="left"/>
        <w:rPr/>
      </w:pPr>
      <w:r>
        <w:rPr/>
        <w:t xml:space="preserve">URL dieses Arbeitsblatts (mit Links zu ergänzenden Dokumenten): </w:t>
      </w:r>
    </w:p>
    <w:p>
      <w:pPr>
        <w:pStyle w:val="Textkrper"/>
        <w:bidi w:val="0"/>
        <w:spacing w:before="0" w:after="140"/>
        <w:jc w:val="left"/>
        <w:rPr/>
      </w:pPr>
      <w:hyperlink r:id="rId10">
        <w:r>
          <w:rPr>
            <w:rStyle w:val="Internetverknpfung"/>
          </w:rPr>
          <w:t>www.schule-bw.de/faecher-und-schularten/sprachen-und-literatur/latein/texte-und-medien/sprueche-anekdoten/aulus-gellius/gellius-noctes-atticae-15-22-sertorius-hirschkuh-original.html</w:t>
        </w:r>
      </w:hyperlink>
      <w:r>
        <w:rPr/>
        <w:t xml:space="preserve"> </w:t>
      </w:r>
    </w:p>
    <w:sectPr>
      <w:headerReference w:type="default" r:id="rId11"/>
      <w:footerReference w:type="default" r:id="rId12"/>
      <w:type w:val="continuous"/>
      <w:pgSz w:w="11906" w:h="16838"/>
      <w:pgMar w:left="1020" w:right="1020" w:header="1020" w:top="1579" w:footer="1020" w:bottom="2412"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widowControl w:val="false"/>
      <w:pBdr>
        <w:top w:val="single" w:sz="12" w:space="1" w:color="000000"/>
      </w:pBdr>
      <w:bidi w:val="0"/>
      <w:jc w:val="left"/>
      <w:rPr/>
    </w:pPr>
    <w:r>
      <w:rPr>
        <w:rStyle w:val="AbsatzStandardschriftart"/>
        <w:sz w:val="18"/>
        <w:szCs w:val="18"/>
      </w:rPr>
      <w:t xml:space="preserve">Diese Materialien sind unter der OER-konformen Lizenz </w:t>
    </w:r>
    <w:hyperlink r:id="rId1" w:tgtFrame="_top">
      <w:r>
        <w:rPr>
          <w:rStyle w:val="Internetverknpfung"/>
          <w:sz w:val="18"/>
          <w:szCs w:val="18"/>
        </w:rPr>
        <w:t>CC BY 4.0 International</w:t>
      </w:r>
    </w:hyperlink>
    <w:r>
      <w:rPr>
        <w:rStyle w:val="AbsatzStandardschriftart"/>
        <w:sz w:val="18"/>
        <w:szCs w:val="18"/>
      </w:rPr>
      <w:t xml:space="preserve"> verfügbar. Herausgeber: Landesbildungsserver Baden-Württemberg (</w:t>
    </w:r>
    <w:hyperlink r:id="rId2" w:tgtFrame="_top">
      <w:r>
        <w:rPr>
          <w:rStyle w:val="Internetverknpfung"/>
          <w:sz w:val="18"/>
          <w:szCs w:val="18"/>
        </w:rPr>
        <w:t>www.schule-bw.de</w:t>
      </w:r>
    </w:hyperlink>
    <w:r>
      <w:rPr>
        <w:rStyle w:val="AbsatzStandardschriftart"/>
        <w:sz w:val="18"/>
        <w:szCs w:val="18"/>
      </w:rPr>
      <w:t xml:space="preserve">), Fachredaktion </w:t>
    </w:r>
    <w:r>
      <w:rPr>
        <w:rStyle w:val="AbsatzStandardschriftart"/>
        <w:sz w:val="18"/>
        <w:szCs w:val="18"/>
      </w:rPr>
      <w:t xml:space="preserve">Latein (auch unter </w:t>
    </w:r>
    <w:hyperlink r:id="rId3">
      <w:r>
        <w:rPr>
          <w:rStyle w:val="Internetverknpfung"/>
          <w:sz w:val="18"/>
          <w:szCs w:val="18"/>
        </w:rPr>
        <w:t>www.latein-bw.de</w:t>
      </w:r>
    </w:hyperlink>
    <w:r>
      <w:rPr>
        <w:rStyle w:val="AbsatzStandardschriftart"/>
        <w:sz w:val="18"/>
        <w:szCs w:val="18"/>
      </w:rPr>
      <w:t xml:space="preserve"> zu erreichen)</w:t>
    </w:r>
    <w:r>
      <w:rPr>
        <w:rStyle w:val="AbsatzStandardschriftart"/>
        <w:sz w:val="18"/>
        <w:szCs w:val="18"/>
      </w:rPr>
      <w:t xml:space="preserve">. Urheberrechtsangaben gemäß </w:t>
    </w:r>
    <w:hyperlink r:id="rId4" w:tgtFrame="_top">
      <w:r>
        <w:rPr>
          <w:rStyle w:val="Internetverknpfung"/>
          <w:sz w:val="18"/>
          <w:szCs w:val="18"/>
        </w:rPr>
        <w:t>www.schule-bw.de/urheberrecht</w:t>
      </w:r>
    </w:hyperlink>
    <w:r>
      <w:rPr>
        <w:rStyle w:val="AbsatzStandardschriftart"/>
        <w:sz w:val="18"/>
        <w:szCs w:val="18"/>
      </w:rPr>
      <w:t xml:space="preserve"> sind zu beachten. Bitte beachten Sie eventuell abweichende Lizenzangaben bei den eingebundenen Bildern und anderen Materialien.</w:t>
    </w:r>
  </w:p>
  <w:p>
    <w:pPr>
      <w:pStyle w:val="Fuzeile"/>
      <w:widowControl w:val="false"/>
      <w:pBdr>
        <w:top w:val="single" w:sz="12" w:space="1" w:color="000000"/>
      </w:pBdr>
      <w:bidi w:val="0"/>
      <w:jc w:val="center"/>
      <w:rPr/>
    </w:pPr>
    <w:r>
      <w:rPr>
        <w:rStyle w:val="AbsatzStandardschriftart"/>
        <w:sz w:val="20"/>
        <w:szCs w:val="16"/>
      </w:rPr>
      <w:t>Seite </w:t>
    </w:r>
    <w:r>
      <w:rPr>
        <w:rStyle w:val="AbsatzStandardschriftart"/>
        <w:sz w:val="20"/>
        <w:szCs w:val="16"/>
      </w:rPr>
      <w:fldChar w:fldCharType="begin"/>
    </w:r>
    <w:r>
      <w:rPr>
        <w:rStyle w:val="AbsatzStandardschriftart"/>
        <w:sz w:val="20"/>
        <w:szCs w:val="16"/>
      </w:rPr>
      <w:instrText> PAGE \* ARABIC </w:instrText>
    </w:r>
    <w:r>
      <w:rPr>
        <w:rStyle w:val="AbsatzStandardschriftart"/>
        <w:sz w:val="20"/>
        <w:szCs w:val="16"/>
      </w:rPr>
      <w:fldChar w:fldCharType="separate"/>
    </w:r>
    <w:r>
      <w:rPr>
        <w:rStyle w:val="AbsatzStandardschriftart"/>
        <w:sz w:val="20"/>
        <w:szCs w:val="16"/>
      </w:rPr>
      <w:t>4</w:t>
    </w:r>
    <w:r>
      <w:rPr>
        <w:rStyle w:val="AbsatzStandardschriftart"/>
        <w:sz w:val="20"/>
        <w:szCs w:val="16"/>
      </w:rPr>
      <w:fldChar w:fldCharType="end"/>
    </w:r>
    <w:r>
      <w:rPr>
        <w:rStyle w:val="AbsatzStandardschriftart"/>
        <w:sz w:val="20"/>
        <w:szCs w:val="16"/>
      </w:rPr>
      <w:t xml:space="preserve"> von </w:t>
    </w:r>
    <w:r>
      <w:rPr>
        <w:rStyle w:val="AbsatzStandardschriftart"/>
        <w:sz w:val="20"/>
        <w:szCs w:val="16"/>
      </w:rPr>
      <w:fldChar w:fldCharType="begin"/>
    </w:r>
    <w:r>
      <w:rPr>
        <w:rStyle w:val="AbsatzStandardschriftart"/>
        <w:sz w:val="20"/>
        <w:szCs w:val="16"/>
      </w:rPr>
      <w:instrText> NUMPAGES \* ARABIC </w:instrText>
    </w:r>
    <w:r>
      <w:rPr>
        <w:rStyle w:val="AbsatzStandardschriftart"/>
        <w:sz w:val="20"/>
        <w:szCs w:val="16"/>
      </w:rPr>
      <w:fldChar w:fldCharType="separate"/>
    </w:r>
    <w:r>
      <w:rPr>
        <w:rStyle w:val="AbsatzStandardschriftart"/>
        <w:sz w:val="20"/>
        <w:szCs w:val="16"/>
      </w:rPr>
      <w:t>4</w:t>
    </w:r>
    <w:r>
      <w:rPr>
        <w:rStyle w:val="AbsatzStandardschriftart"/>
        <w:sz w:val="20"/>
        <w:szCs w:val="16"/>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widowControl w:val="false"/>
      <w:pBdr>
        <w:top w:val="single" w:sz="12" w:space="1" w:color="000000"/>
      </w:pBdr>
      <w:bidi w:val="0"/>
      <w:jc w:val="left"/>
      <w:rPr/>
    </w:pPr>
    <w:r>
      <w:rPr>
        <w:rStyle w:val="AbsatzStandardschriftart"/>
        <w:sz w:val="18"/>
        <w:szCs w:val="18"/>
      </w:rPr>
      <w:t xml:space="preserve">Diese Materialien sind unter der OER-konformen Lizenz </w:t>
    </w:r>
    <w:hyperlink r:id="rId1" w:tgtFrame="_top">
      <w:r>
        <w:rPr>
          <w:rStyle w:val="Internetverknpfung"/>
          <w:sz w:val="18"/>
          <w:szCs w:val="18"/>
        </w:rPr>
        <w:t>CC BY 4.0 International</w:t>
      </w:r>
    </w:hyperlink>
    <w:r>
      <w:rPr>
        <w:rStyle w:val="AbsatzStandardschriftart"/>
        <w:sz w:val="18"/>
        <w:szCs w:val="18"/>
      </w:rPr>
      <w:t xml:space="preserve"> verfügbar. Herausgeber: Landesbildungsserver Baden-Württemberg (</w:t>
    </w:r>
    <w:hyperlink r:id="rId2" w:tgtFrame="_top">
      <w:r>
        <w:rPr>
          <w:rStyle w:val="Internetverknpfung"/>
          <w:sz w:val="18"/>
          <w:szCs w:val="18"/>
        </w:rPr>
        <w:t>www.schule-bw.de</w:t>
      </w:r>
    </w:hyperlink>
    <w:r>
      <w:rPr>
        <w:rStyle w:val="AbsatzStandardschriftart"/>
        <w:sz w:val="18"/>
        <w:szCs w:val="18"/>
      </w:rPr>
      <w:t xml:space="preserve">), Fachredaktion </w:t>
    </w:r>
    <w:r>
      <w:rPr>
        <w:rStyle w:val="AbsatzStandardschriftart"/>
        <w:sz w:val="18"/>
        <w:szCs w:val="18"/>
      </w:rPr>
      <w:t xml:space="preserve">Latein (auch unter </w:t>
    </w:r>
    <w:hyperlink r:id="rId3">
      <w:r>
        <w:rPr>
          <w:rStyle w:val="Internetverknpfung"/>
          <w:sz w:val="18"/>
          <w:szCs w:val="18"/>
        </w:rPr>
        <w:t>www.latein-bw.de</w:t>
      </w:r>
    </w:hyperlink>
    <w:r>
      <w:rPr>
        <w:rStyle w:val="AbsatzStandardschriftart"/>
        <w:sz w:val="18"/>
        <w:szCs w:val="18"/>
      </w:rPr>
      <w:t xml:space="preserve"> zu erreichen)</w:t>
    </w:r>
    <w:r>
      <w:rPr>
        <w:rStyle w:val="AbsatzStandardschriftart"/>
        <w:sz w:val="18"/>
        <w:szCs w:val="18"/>
      </w:rPr>
      <w:t xml:space="preserve">. Urheberrechtsangaben gemäß </w:t>
    </w:r>
    <w:hyperlink r:id="rId4" w:tgtFrame="_top">
      <w:r>
        <w:rPr>
          <w:rStyle w:val="Internetverknpfung"/>
          <w:sz w:val="18"/>
          <w:szCs w:val="18"/>
        </w:rPr>
        <w:t>www.schule-bw.de/urheberrecht</w:t>
      </w:r>
    </w:hyperlink>
    <w:r>
      <w:rPr>
        <w:rStyle w:val="AbsatzStandardschriftart"/>
        <w:sz w:val="18"/>
        <w:szCs w:val="18"/>
      </w:rPr>
      <w:t xml:space="preserve"> sind zu beachten. Bitte beachten Sie eventuell abweichende Lizenzangaben bei den eingebundenen Bildern und anderen Materialien.</w:t>
    </w:r>
  </w:p>
  <w:p>
    <w:pPr>
      <w:pStyle w:val="Fuzeile"/>
      <w:widowControl w:val="false"/>
      <w:pBdr>
        <w:top w:val="single" w:sz="12" w:space="1" w:color="000000"/>
      </w:pBdr>
      <w:bidi w:val="0"/>
      <w:jc w:val="center"/>
      <w:rPr/>
    </w:pPr>
    <w:r>
      <w:rPr>
        <w:rStyle w:val="AbsatzStandardschriftart"/>
        <w:sz w:val="20"/>
        <w:szCs w:val="16"/>
      </w:rPr>
      <w:t>Seite </w:t>
    </w:r>
    <w:r>
      <w:rPr>
        <w:rStyle w:val="AbsatzStandardschriftart"/>
        <w:sz w:val="20"/>
        <w:szCs w:val="16"/>
      </w:rPr>
      <w:fldChar w:fldCharType="begin"/>
    </w:r>
    <w:r>
      <w:rPr>
        <w:rStyle w:val="AbsatzStandardschriftart"/>
        <w:sz w:val="20"/>
        <w:szCs w:val="16"/>
      </w:rPr>
      <w:instrText> PAGE \* ARABIC </w:instrText>
    </w:r>
    <w:r>
      <w:rPr>
        <w:rStyle w:val="AbsatzStandardschriftart"/>
        <w:sz w:val="20"/>
        <w:szCs w:val="16"/>
      </w:rPr>
      <w:fldChar w:fldCharType="separate"/>
    </w:r>
    <w:r>
      <w:rPr>
        <w:rStyle w:val="AbsatzStandardschriftart"/>
        <w:sz w:val="20"/>
        <w:szCs w:val="16"/>
      </w:rPr>
      <w:t>4</w:t>
    </w:r>
    <w:r>
      <w:rPr>
        <w:rStyle w:val="AbsatzStandardschriftart"/>
        <w:sz w:val="20"/>
        <w:szCs w:val="16"/>
      </w:rPr>
      <w:fldChar w:fldCharType="end"/>
    </w:r>
    <w:r>
      <w:rPr>
        <w:rStyle w:val="AbsatzStandardschriftart"/>
        <w:sz w:val="20"/>
        <w:szCs w:val="16"/>
      </w:rPr>
      <w:t xml:space="preserve"> von </w:t>
    </w:r>
    <w:r>
      <w:rPr>
        <w:rStyle w:val="AbsatzStandardschriftart"/>
        <w:sz w:val="20"/>
        <w:szCs w:val="16"/>
      </w:rPr>
      <w:fldChar w:fldCharType="begin"/>
    </w:r>
    <w:r>
      <w:rPr>
        <w:rStyle w:val="AbsatzStandardschriftart"/>
        <w:sz w:val="20"/>
        <w:szCs w:val="16"/>
      </w:rPr>
      <w:instrText> NUMPAGES \* ARABIC </w:instrText>
    </w:r>
    <w:r>
      <w:rPr>
        <w:rStyle w:val="AbsatzStandardschriftart"/>
        <w:sz w:val="20"/>
        <w:szCs w:val="16"/>
      </w:rPr>
      <w:fldChar w:fldCharType="separate"/>
    </w:r>
    <w:r>
      <w:rPr>
        <w:rStyle w:val="AbsatzStandardschriftart"/>
        <w:sz w:val="20"/>
        <w:szCs w:val="16"/>
      </w:rPr>
      <w:t>4</w:t>
    </w:r>
    <w:r>
      <w:rPr>
        <w:rStyle w:val="AbsatzStandardschriftart"/>
        <w:sz w:val="20"/>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suppressLineNumbers/>
      <w:bidi w:val="0"/>
      <w:jc w:val="left"/>
      <w:rPr/>
    </w:pPr>
    <w:r>
      <w:rPr/>
      <w:drawing>
        <wp:anchor behindDoc="1" distT="0" distB="0" distL="0" distR="0" simplePos="0" locked="0" layoutInCell="0" allowOverlap="1" relativeHeight="5">
          <wp:simplePos x="0" y="0"/>
          <wp:positionH relativeFrom="column">
            <wp:posOffset>2874010</wp:posOffset>
          </wp:positionH>
          <wp:positionV relativeFrom="paragraph">
            <wp:posOffset>-318135</wp:posOffset>
          </wp:positionV>
          <wp:extent cx="396240" cy="554355"/>
          <wp:effectExtent l="0" t="0" r="0" b="0"/>
          <wp:wrapNone/>
          <wp:docPr id="1"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3" descr=""/>
                  <pic:cNvPicPr>
                    <a:picLocks noChangeAspect="1" noChangeArrowheads="1"/>
                  </pic:cNvPicPr>
                </pic:nvPicPr>
                <pic:blipFill>
                  <a:blip r:embed="rId1"/>
                  <a:stretch>
                    <a:fillRect/>
                  </a:stretch>
                </pic:blipFill>
                <pic:spPr bwMode="auto">
                  <a:xfrm>
                    <a:off x="0" y="0"/>
                    <a:ext cx="396240" cy="554355"/>
                  </a:xfrm>
                  <a:prstGeom prst="rect">
                    <a:avLst/>
                  </a:prstGeom>
                </pic:spPr>
              </pic:pic>
            </a:graphicData>
          </a:graphic>
        </wp:anchor>
      </w:drawing>
      <w:drawing>
        <wp:anchor behindDoc="0" distT="0" distB="0" distL="0" distR="0" simplePos="0" locked="0" layoutInCell="0" allowOverlap="1" relativeHeight="9">
          <wp:simplePos x="0" y="0"/>
          <wp:positionH relativeFrom="column">
            <wp:posOffset>4551680</wp:posOffset>
          </wp:positionH>
          <wp:positionV relativeFrom="paragraph">
            <wp:posOffset>-329565</wp:posOffset>
          </wp:positionV>
          <wp:extent cx="1634490" cy="570230"/>
          <wp:effectExtent l="0" t="0" r="0" b="0"/>
          <wp:wrapSquare wrapText="bothSides"/>
          <wp:docPr id="2"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4" descr=""/>
                  <pic:cNvPicPr>
                    <a:picLocks noChangeAspect="1" noChangeArrowheads="1"/>
                  </pic:cNvPicPr>
                </pic:nvPicPr>
                <pic:blipFill>
                  <a:blip r:embed="rId2"/>
                  <a:srcRect l="6218" t="13902" r="6410" b="13902"/>
                  <a:stretch>
                    <a:fillRect/>
                  </a:stretch>
                </pic:blipFill>
                <pic:spPr bwMode="auto">
                  <a:xfrm>
                    <a:off x="0" y="0"/>
                    <a:ext cx="1634490" cy="570230"/>
                  </a:xfrm>
                  <a:prstGeom prst="rect">
                    <a:avLst/>
                  </a:prstGeom>
                </pic:spPr>
              </pic:pic>
            </a:graphicData>
          </a:graphic>
        </wp:anchor>
      </w:drawing>
      <w:drawing>
        <wp:anchor behindDoc="0" distT="0" distB="0" distL="0" distR="0" simplePos="0" locked="0" layoutInCell="0" allowOverlap="1" relativeHeight="13">
          <wp:simplePos x="0" y="0"/>
          <wp:positionH relativeFrom="column">
            <wp:posOffset>-50800</wp:posOffset>
          </wp:positionH>
          <wp:positionV relativeFrom="paragraph">
            <wp:posOffset>-360680</wp:posOffset>
          </wp:positionV>
          <wp:extent cx="1923415" cy="622300"/>
          <wp:effectExtent l="0" t="0" r="0" b="0"/>
          <wp:wrapSquare wrapText="largest"/>
          <wp:docPr id="3"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 descr=""/>
                  <pic:cNvPicPr>
                    <a:picLocks noChangeAspect="1" noChangeArrowheads="1"/>
                  </pic:cNvPicPr>
                </pic:nvPicPr>
                <pic:blipFill>
                  <a:blip r:embed="rId3"/>
                  <a:stretch>
                    <a:fillRect/>
                  </a:stretch>
                </pic:blipFill>
                <pic:spPr bwMode="auto">
                  <a:xfrm>
                    <a:off x="0" y="0"/>
                    <a:ext cx="1923415" cy="62230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suppressLineNumbers/>
      <w:bidi w:val="0"/>
      <w:jc w:val="left"/>
      <w:rPr/>
    </w:pPr>
    <w:r>
      <w:rPr/>
      <w:drawing>
        <wp:anchor behindDoc="1" distT="0" distB="0" distL="0" distR="0" simplePos="0" locked="0" layoutInCell="0" allowOverlap="1" relativeHeight="5">
          <wp:simplePos x="0" y="0"/>
          <wp:positionH relativeFrom="column">
            <wp:posOffset>2874010</wp:posOffset>
          </wp:positionH>
          <wp:positionV relativeFrom="paragraph">
            <wp:posOffset>-318135</wp:posOffset>
          </wp:positionV>
          <wp:extent cx="396240" cy="554355"/>
          <wp:effectExtent l="0" t="0" r="0" b="0"/>
          <wp:wrapNone/>
          <wp:docPr id="4"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descr=""/>
                  <pic:cNvPicPr>
                    <a:picLocks noChangeAspect="1" noChangeArrowheads="1"/>
                  </pic:cNvPicPr>
                </pic:nvPicPr>
                <pic:blipFill>
                  <a:blip r:embed="rId1"/>
                  <a:stretch>
                    <a:fillRect/>
                  </a:stretch>
                </pic:blipFill>
                <pic:spPr bwMode="auto">
                  <a:xfrm>
                    <a:off x="0" y="0"/>
                    <a:ext cx="396240" cy="554355"/>
                  </a:xfrm>
                  <a:prstGeom prst="rect">
                    <a:avLst/>
                  </a:prstGeom>
                </pic:spPr>
              </pic:pic>
            </a:graphicData>
          </a:graphic>
        </wp:anchor>
      </w:drawing>
      <w:drawing>
        <wp:anchor behindDoc="0" distT="0" distB="0" distL="0" distR="0" simplePos="0" locked="0" layoutInCell="0" allowOverlap="1" relativeHeight="9">
          <wp:simplePos x="0" y="0"/>
          <wp:positionH relativeFrom="column">
            <wp:posOffset>4551680</wp:posOffset>
          </wp:positionH>
          <wp:positionV relativeFrom="paragraph">
            <wp:posOffset>-329565</wp:posOffset>
          </wp:positionV>
          <wp:extent cx="1634490" cy="570230"/>
          <wp:effectExtent l="0" t="0" r="0" b="0"/>
          <wp:wrapSquare wrapText="bothSides"/>
          <wp:docPr id="5"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descr=""/>
                  <pic:cNvPicPr>
                    <a:picLocks noChangeAspect="1" noChangeArrowheads="1"/>
                  </pic:cNvPicPr>
                </pic:nvPicPr>
                <pic:blipFill>
                  <a:blip r:embed="rId2"/>
                  <a:srcRect l="6218" t="13902" r="6410" b="13902"/>
                  <a:stretch>
                    <a:fillRect/>
                  </a:stretch>
                </pic:blipFill>
                <pic:spPr bwMode="auto">
                  <a:xfrm>
                    <a:off x="0" y="0"/>
                    <a:ext cx="1634490" cy="570230"/>
                  </a:xfrm>
                  <a:prstGeom prst="rect">
                    <a:avLst/>
                  </a:prstGeom>
                </pic:spPr>
              </pic:pic>
            </a:graphicData>
          </a:graphic>
        </wp:anchor>
      </w:drawing>
      <w:drawing>
        <wp:anchor behindDoc="0" distT="0" distB="0" distL="0" distR="0" simplePos="0" locked="0" layoutInCell="0" allowOverlap="1" relativeHeight="13">
          <wp:simplePos x="0" y="0"/>
          <wp:positionH relativeFrom="column">
            <wp:posOffset>-50800</wp:posOffset>
          </wp:positionH>
          <wp:positionV relativeFrom="paragraph">
            <wp:posOffset>-360680</wp:posOffset>
          </wp:positionV>
          <wp:extent cx="1923415" cy="622300"/>
          <wp:effectExtent l="0" t="0" r="0" b="0"/>
          <wp:wrapSquare wrapText="largest"/>
          <wp:docPr id="6"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2" descr=""/>
                  <pic:cNvPicPr>
                    <a:picLocks noChangeAspect="1" noChangeArrowheads="1"/>
                  </pic:cNvPicPr>
                </pic:nvPicPr>
                <pic:blipFill>
                  <a:blip r:embed="rId3"/>
                  <a:stretch>
                    <a:fillRect/>
                  </a:stretch>
                </pic:blipFill>
                <pic:spPr bwMode="auto">
                  <a:xfrm>
                    <a:off x="0" y="0"/>
                    <a:ext cx="1923415" cy="6223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07"/>
        </w:tabs>
        <w:ind w:left="707" w:hanging="283"/>
      </w:pPr>
      <w:rPr/>
    </w:lvl>
    <w:lvl w:ilvl="1">
      <w:start w:val="1"/>
      <w:numFmt w:val="lowerLetter"/>
      <w:lvlText w:val="%2."/>
      <w:lvlJc w:val="left"/>
      <w:pPr>
        <w:tabs>
          <w:tab w:val="num" w:pos="1414"/>
        </w:tabs>
        <w:ind w:left="1414" w:hanging="283"/>
      </w:pPr>
      <w:rPr/>
    </w:lvl>
    <w:lvl w:ilvl="2">
      <w:start w:val="1"/>
      <w:numFmt w:val="lowerLetter"/>
      <w:lvlText w:val="%3."/>
      <w:lvlJc w:val="left"/>
      <w:pPr>
        <w:tabs>
          <w:tab w:val="num" w:pos="2121"/>
        </w:tabs>
        <w:ind w:left="2121" w:hanging="283"/>
      </w:pPr>
      <w:rPr/>
    </w:lvl>
    <w:lvl w:ilvl="3">
      <w:start w:val="1"/>
      <w:numFmt w:val="lowerLetter"/>
      <w:lvlText w:val="%4."/>
      <w:lvlJc w:val="left"/>
      <w:pPr>
        <w:tabs>
          <w:tab w:val="num" w:pos="2828"/>
        </w:tabs>
        <w:ind w:left="2828" w:hanging="283"/>
      </w:pPr>
      <w:rPr/>
    </w:lvl>
    <w:lvl w:ilvl="4">
      <w:start w:val="1"/>
      <w:numFmt w:val="lowerLetter"/>
      <w:lvlText w:val="%5."/>
      <w:lvlJc w:val="left"/>
      <w:pPr>
        <w:tabs>
          <w:tab w:val="num" w:pos="3535"/>
        </w:tabs>
        <w:ind w:left="3535" w:hanging="283"/>
      </w:pPr>
      <w:rPr/>
    </w:lvl>
    <w:lvl w:ilvl="5">
      <w:start w:val="1"/>
      <w:numFmt w:val="lowerLetter"/>
      <w:lvlText w:val="%6."/>
      <w:lvlJc w:val="left"/>
      <w:pPr>
        <w:tabs>
          <w:tab w:val="num" w:pos="4242"/>
        </w:tabs>
        <w:ind w:left="4242" w:hanging="283"/>
      </w:pPr>
      <w:rPr/>
    </w:lvl>
    <w:lvl w:ilvl="6">
      <w:start w:val="1"/>
      <w:numFmt w:val="lowerLetter"/>
      <w:lvlText w:val="%7."/>
      <w:lvlJc w:val="left"/>
      <w:pPr>
        <w:tabs>
          <w:tab w:val="num" w:pos="4949"/>
        </w:tabs>
        <w:ind w:left="4949" w:hanging="283"/>
      </w:pPr>
      <w:rPr/>
    </w:lvl>
    <w:lvl w:ilvl="7">
      <w:start w:val="1"/>
      <w:numFmt w:val="lowerLetter"/>
      <w:lvlText w:val="%8."/>
      <w:lvlJc w:val="left"/>
      <w:pPr>
        <w:tabs>
          <w:tab w:val="num" w:pos="5656"/>
        </w:tabs>
        <w:ind w:left="5656" w:hanging="283"/>
      </w:pPr>
      <w:rPr/>
    </w:lvl>
    <w:lvl w:ilvl="8">
      <w:start w:val="1"/>
      <w:numFmt w:val="lowerLetter"/>
      <w:lvlText w:val="%9."/>
      <w:lvlJc w:val="left"/>
      <w:pPr>
        <w:tabs>
          <w:tab w:val="num" w:pos="6363"/>
        </w:tabs>
        <w:ind w:left="6363" w:hanging="283"/>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de-DE" w:eastAsia="zh-CN" w:bidi="hi-IN"/>
    </w:rPr>
  </w:style>
  <w:style w:type="paragraph" w:styleId="Berschrift1">
    <w:name w:val="Heading 1"/>
    <w:basedOn w:val="Berschrift"/>
    <w:next w:val="Textkrper"/>
    <w:qFormat/>
    <w:pPr>
      <w:numPr>
        <w:ilvl w:val="0"/>
        <w:numId w:val="0"/>
      </w:numPr>
      <w:spacing w:before="240" w:after="120"/>
      <w:outlineLvl w:val="0"/>
    </w:pPr>
    <w:rPr>
      <w:b/>
      <w:bCs/>
      <w:sz w:val="36"/>
      <w:szCs w:val="36"/>
    </w:rPr>
  </w:style>
  <w:style w:type="character" w:styleId="AbsatzStandardschriftart">
    <w:name w:val="Absatz-Standardschriftart"/>
    <w:qFormat/>
    <w:rPr/>
  </w:style>
  <w:style w:type="character" w:styleId="Hyperlink">
    <w:name w:val="Hyperlink"/>
    <w:basedOn w:val="AbsatzStandardschriftart"/>
    <w:qFormat/>
    <w:rPr>
      <w:color w:val="0000FF"/>
      <w:u w:val="single"/>
    </w:rPr>
  </w:style>
  <w:style w:type="character" w:styleId="Internetverknpfung">
    <w:name w:val="Internetverknüpfung"/>
    <w:rPr>
      <w:color w:val="000080"/>
      <w:u w:val="single"/>
      <w:lang w:val="zxx" w:eastAsia="zxx" w:bidi="zxx"/>
    </w:rPr>
  </w:style>
  <w:style w:type="character" w:styleId="BesuchteInternetverknpfung">
    <w:name w:val="Besuchte Internetverknüpfung"/>
    <w:rPr>
      <w:color w:val="800000"/>
      <w:u w:val="single"/>
    </w:rPr>
  </w:style>
  <w:style w:type="character" w:styleId="DefaultParagraphFont">
    <w:name w:val="Default Paragraph Font"/>
    <w:qFormat/>
    <w:rPr/>
  </w:style>
  <w:style w:type="character" w:styleId="Funotenzeichen">
    <w:name w:val="Fußnotenzeichen"/>
    <w:qFormat/>
    <w:rPr/>
  </w:style>
  <w:style w:type="character" w:styleId="Funotenanker">
    <w:name w:val="Fußnotenanker"/>
    <w:rPr>
      <w:vertAlign w:val="superscript"/>
    </w:rPr>
  </w:style>
  <w:style w:type="character" w:styleId="Betont">
    <w:name w:val="Betont"/>
    <w:qFormat/>
    <w:rPr>
      <w:i/>
      <w:iCs/>
    </w:rPr>
  </w:style>
  <w:style w:type="character" w:styleId="Nummerierungszeichen">
    <w:name w:val="Nummerierungszeichen"/>
    <w:qFormat/>
    <w:rPr/>
  </w:style>
  <w:style w:type="character" w:styleId="Starkbetont">
    <w:name w:val="Stark betont"/>
    <w:qFormat/>
    <w:rPr>
      <w:b/>
      <w:bCs/>
    </w:rPr>
  </w:style>
  <w:style w:type="character" w:styleId="Showbody">
    <w:name w:val="showbody"/>
    <w:basedOn w:val="AbsatzStandardschriftart"/>
    <w:qFormat/>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el">
    <w:name w:val="Title"/>
    <w:basedOn w:val="Berschrift"/>
    <w:next w:val="Textkrper"/>
    <w:qFormat/>
    <w:pPr>
      <w:jc w:val="center"/>
    </w:pPr>
    <w:rPr>
      <w:b/>
      <w:bCs/>
      <w:sz w:val="56"/>
      <w:szCs w:val="56"/>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KopfundFuzeile"/>
    <w:pPr>
      <w:suppressLineNumbers/>
    </w:pPr>
    <w:rPr/>
  </w:style>
  <w:style w:type="paragraph" w:styleId="Fuzeile">
    <w:name w:val="Footer"/>
    <w:basedOn w:val="KopfundFuzeile"/>
    <w:pPr>
      <w:suppressLineNumbers/>
    </w:pPr>
    <w:rPr/>
  </w:style>
  <w:style w:type="paragraph" w:styleId="Tabelleninhalt">
    <w:name w:val="Tabelleninhalt"/>
    <w:basedOn w:val="Normal"/>
    <w:qFormat/>
    <w:pPr>
      <w:widowControl w:val="false"/>
      <w:suppressLineNumbers/>
    </w:pPr>
    <w:rPr/>
  </w:style>
  <w:style w:type="paragraph" w:styleId="NormalTable">
    <w:name w:val="Normal Table"/>
    <w:qFormat/>
    <w:pPr>
      <w:widowControl/>
      <w:kinsoku w:val="true"/>
      <w:overflowPunct w:val="true"/>
      <w:autoSpaceDE w:val="true"/>
      <w:bidi w:val="0"/>
      <w:spacing w:lineRule="auto" w:line="360"/>
      <w:jc w:val="left"/>
      <w:textAlignment w:val="auto"/>
    </w:pPr>
    <w:rPr>
      <w:rFonts w:ascii="Calibri" w:hAnsi="Calibri" w:eastAsia="Calibri" w:cs="Times New Roman"/>
      <w:color w:val="auto"/>
      <w:kern w:val="2"/>
      <w:sz w:val="22"/>
      <w:szCs w:val="22"/>
      <w:lang w:val="de-DE" w:eastAsia="en-US" w:bidi="ar-SA"/>
    </w:rPr>
  </w:style>
  <w:style w:type="paragraph" w:styleId="TableGrid">
    <w:name w:val="Table Grid"/>
    <w:basedOn w:val="NormalTable"/>
    <w:qFormat/>
    <w:pPr>
      <w:spacing w:lineRule="auto" w:line="240"/>
    </w:pPr>
    <w:rPr/>
  </w:style>
  <w:style w:type="paragraph" w:styleId="TextErlaeuterung">
    <w:name w:val="Text Erlaeuterung"/>
    <w:basedOn w:val="Textkrper"/>
    <w:qFormat/>
    <w:pPr>
      <w:spacing w:lineRule="atLeast" w:line="340"/>
    </w:pPr>
    <w:rPr>
      <w:rFonts w:ascii="Arial" w:hAnsi="Arial"/>
      <w:sz w:val="22"/>
      <w:szCs w:val="22"/>
    </w:rPr>
  </w:style>
  <w:style w:type="paragraph" w:styleId="Vokabelangabe">
    <w:name w:val="Vokabelangabe"/>
    <w:basedOn w:val="Normal"/>
    <w:autoRedefine/>
    <w:qFormat/>
    <w:pPr>
      <w:spacing w:lineRule="auto" w:line="240"/>
      <w:ind w:left="284" w:right="0" w:hanging="284"/>
    </w:pPr>
    <w:rPr>
      <w:sz w:val="20"/>
      <w:szCs w:val="20"/>
    </w:rPr>
  </w:style>
  <w:style w:type="paragraph" w:styleId="Funote">
    <w:name w:val="Footnote Text"/>
    <w:basedOn w:val="Normal"/>
    <w:pPr>
      <w:suppressLineNumbers/>
      <w:ind w:left="339" w:right="0" w:hanging="339"/>
    </w:pPr>
    <w:rPr>
      <w:sz w:val="20"/>
      <w:szCs w:val="20"/>
    </w:rPr>
  </w:style>
  <w:style w:type="paragraph" w:styleId="Vokabelangabelbs">
    <w:name w:val="Vokabelangabe-lbs"/>
    <w:basedOn w:val="Normal"/>
    <w:qFormat/>
    <w:pPr>
      <w:suppressAutoHyphens w:val="false"/>
      <w:spacing w:lineRule="auto" w:line="312" w:before="0" w:after="0"/>
      <w:ind w:left="284" w:right="0" w:hanging="284"/>
      <w:textAlignment w:val="auto"/>
    </w:pPr>
    <w:rPr>
      <w:rFonts w:eastAsia="Calibri" w:cs="Arial"/>
      <w:sz w:val="20"/>
      <w:szCs w:val="22"/>
      <w:lang w:eastAsia="en-US"/>
    </w:rPr>
  </w:style>
  <w:style w:type="paragraph" w:styleId="Tabellenberschrift">
    <w:name w:val="Tabellenüberschrift"/>
    <w:basedOn w:val="Tabelleninhalt"/>
    <w:qFormat/>
    <w:pPr>
      <w:suppressLineNumbers/>
      <w:jc w:val="center"/>
    </w:pPr>
    <w:rPr>
      <w:b/>
      <w:bCs/>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Untertitel">
    <w:name w:val="Subtitle"/>
    <w:basedOn w:val="Berschrift"/>
    <w:next w:val="Textkrper"/>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s://www.schule-bw.de/resolveuid/4c378ce0bba7483999aff799ca5ab609" TargetMode="External"/><Relationship Id="rId5" Type="http://schemas.openxmlformats.org/officeDocument/2006/relationships/hyperlink" Target="https://www.schule-bw.de/resolveuid/a0a056e0b9ae4eb0aea3f35933583ad7" TargetMode="External"/><Relationship Id="rId6" Type="http://schemas.openxmlformats.org/officeDocument/2006/relationships/hyperlink" Target="https://www.schule-bw.de/resolveuid/59797580181a470bb580ca3e550d1b6b" TargetMode="External"/><Relationship Id="rId7" Type="http://schemas.openxmlformats.org/officeDocument/2006/relationships/hyperlink" Target="https://www.schule-bw.de/resolveuid/59797580181a470bb580ca3e550d1b6b" TargetMode="External"/><Relationship Id="rId8" Type="http://schemas.openxmlformats.org/officeDocument/2006/relationships/hyperlink" Target="https://www.schule-bw.de/resolveuid/59797580181a470bb580ca3e550d1b6b" TargetMode="External"/><Relationship Id="rId9" Type="http://schemas.openxmlformats.org/officeDocument/2006/relationships/hyperlink" Target="https://www.schule-bw.de/resolveuid/59797580181a470bb580ca3e550d1b6b" TargetMode="External"/><Relationship Id="rId10" Type="http://schemas.openxmlformats.org/officeDocument/2006/relationships/hyperlink" Target="https://www.schule-bw.de/faecher-und-schularten/sprachen-und-literatur/latein/texte-und-medien/sprueche-anekdoten/aulus-gellius/gellius-noctes-atticae-15-22-sertorius-hirschkuh-original.html"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s://creativecommons.org/licenses/by/4.0/legalcode" TargetMode="External"/><Relationship Id="rId2" Type="http://schemas.openxmlformats.org/officeDocument/2006/relationships/hyperlink" Target="https://www.schule-bw.de/" TargetMode="External"/><Relationship Id="rId3" Type="http://schemas.openxmlformats.org/officeDocument/2006/relationships/hyperlink" Target="http://www.latein-bw.de/" TargetMode="External"/><Relationship Id="rId4" Type="http://schemas.openxmlformats.org/officeDocument/2006/relationships/hyperlink" Target="https://www.schule-bw.de/urheberrecht" TargetMode="External"/>
</Relationships>
</file>

<file path=word/_rels/footer2.xml.rels><?xml version="1.0" encoding="UTF-8"?>
<Relationships xmlns="http://schemas.openxmlformats.org/package/2006/relationships"><Relationship Id="rId1" Type="http://schemas.openxmlformats.org/officeDocument/2006/relationships/hyperlink" Target="https://creativecommons.org/licenses/by/4.0/legalcode" TargetMode="External"/><Relationship Id="rId2" Type="http://schemas.openxmlformats.org/officeDocument/2006/relationships/hyperlink" Target="https://www.schule-bw.de/" TargetMode="External"/><Relationship Id="rId3" Type="http://schemas.openxmlformats.org/officeDocument/2006/relationships/hyperlink" Target="http://www.latein-bw.de/" TargetMode="External"/><Relationship Id="rId4" Type="http://schemas.openxmlformats.org/officeDocument/2006/relationships/hyperlink" Target="https://www.schule-bw.de/urheberrecht"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jpeg"/><Relationship Id="rId3" Type="http://schemas.openxmlformats.org/officeDocument/2006/relationships/image" Target="media/image6.png"/>
</Relationships>
</file>

<file path=docProps/app.xml><?xml version="1.0" encoding="utf-8"?>
<Properties xmlns="http://schemas.openxmlformats.org/officeDocument/2006/extended-properties" xmlns:vt="http://schemas.openxmlformats.org/officeDocument/2006/docPropsVTypes">
  <Template/>
  <TotalTime>0</TotalTime>
  <Application>LibreOffice/7.1.6.2$Windows_X86_64 LibreOffice_project/0e133318fcee89abacd6a7d077e292f1145735c3</Application>
  <AppVersion>15.0000</AppVersion>
  <Pages>4</Pages>
  <Words>966</Words>
  <Characters>6266</Characters>
  <CharactersWithSpaces>7161</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2022-02-21T12:30:06Z</dcterms:created>
  <dc:creator/>
  <dc:description/>
  <dc:language>de-DE</dc:language>
  <cp:lastModifiedBy/>
  <cp:revision>1</cp:revision>
  <dc:subject/>
  <dc:title>Aulus Gellius: Noctes Atticae 15,22: Sertorius. Originalversion</dc:title>
</cp:coreProperties>
</file>