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A8542" w14:textId="77777777" w:rsidR="006E4315" w:rsidRDefault="00474DB9">
      <w:pPr>
        <w:pStyle w:val="Titel"/>
      </w:pPr>
      <w:r>
        <w:t>Stilmittel</w:t>
      </w:r>
    </w:p>
    <w:p w14:paraId="001703BB" w14:textId="77777777" w:rsidR="006E4315" w:rsidRDefault="00474DB9">
      <w:pPr>
        <w:pStyle w:val="berschrift1"/>
      </w:pPr>
      <w:r>
        <w:t>Hinweise zur Benutzung der Seite</w:t>
      </w:r>
    </w:p>
    <w:p w14:paraId="0DF6CCBE" w14:textId="77777777" w:rsidR="006E4315" w:rsidRDefault="00474DB9">
      <w:pPr>
        <w:pStyle w:val="Textbody"/>
      </w:pPr>
      <w:r>
        <w:t xml:space="preserve">Diese Liste der Stilmittel gibt nur einen kleinen Teil der in der griechischen und lateinischen Literatur tatsächlich verwendeten Stilmittel wieder. Für umfangreichere Listen siehe den </w:t>
      </w:r>
      <w:r>
        <w:t>nächsten Abschnitt (Weitere Ressourcen).</w:t>
      </w:r>
    </w:p>
    <w:p w14:paraId="50194427" w14:textId="77777777" w:rsidR="006E4315" w:rsidRDefault="00474DB9">
      <w:pPr>
        <w:pStyle w:val="Textbody"/>
      </w:pPr>
      <w:r>
        <w:t>Die hier aufgeführten Angaben dienen dazu, Schülerinnen und Schüler bei der Analyse lateinischer Texte zu unterstützen.</w:t>
      </w:r>
    </w:p>
    <w:p w14:paraId="74587D53" w14:textId="77777777" w:rsidR="006E4315" w:rsidRDefault="00474DB9">
      <w:pPr>
        <w:pStyle w:val="Textbody"/>
      </w:pPr>
      <w:r>
        <w:t xml:space="preserve">Erläuterungen zu dieser Liste am </w:t>
      </w:r>
      <w:hyperlink r:id="rId7" w:history="1">
        <w:r>
          <w:t>Ende des Dokuments</w:t>
        </w:r>
      </w:hyperlink>
      <w:r>
        <w:t>.</w:t>
      </w:r>
    </w:p>
    <w:p w14:paraId="01CCDC22" w14:textId="77777777" w:rsidR="006E4315" w:rsidRDefault="00474DB9">
      <w:pPr>
        <w:pStyle w:val="berschrift1"/>
      </w:pPr>
      <w:r>
        <w:t>Weitere Resso</w:t>
      </w:r>
      <w:r>
        <w:t>urcen</w:t>
      </w:r>
    </w:p>
    <w:p w14:paraId="2B25A4F2" w14:textId="77777777" w:rsidR="006E4315" w:rsidRDefault="00474DB9">
      <w:pPr>
        <w:pStyle w:val="Textbody"/>
        <w:numPr>
          <w:ilvl w:val="0"/>
          <w:numId w:val="1"/>
        </w:numPr>
        <w:spacing w:after="0"/>
      </w:pPr>
      <w:r>
        <w:t xml:space="preserve">Umfangreichere Listen und weitere Ressourcen gibt es in der </w:t>
      </w:r>
      <w:hyperlink r:id="rId8" w:history="1">
        <w:r>
          <w:t>Sammlung der Linkempfehlungen zu den Stilmitteln</w:t>
        </w:r>
      </w:hyperlink>
      <w:r>
        <w:t>.</w:t>
      </w:r>
    </w:p>
    <w:p w14:paraId="5E35B247" w14:textId="77777777" w:rsidR="006E4315" w:rsidRDefault="00474DB9">
      <w:pPr>
        <w:pStyle w:val="Textbody"/>
        <w:numPr>
          <w:ilvl w:val="0"/>
          <w:numId w:val="1"/>
        </w:numPr>
        <w:spacing w:after="0"/>
      </w:pPr>
      <w:r>
        <w:t xml:space="preserve">Das </w:t>
      </w:r>
      <w:hyperlink r:id="rId9" w:history="1">
        <w:r>
          <w:t>Arbeitsblatt zu den Stilmitteln</w:t>
        </w:r>
      </w:hyperlink>
      <w:r>
        <w:t xml:space="preserve"> zeigt auf, wie Schülerinnen und Schüler die Arbeit mit den Stilmitteln lernen können.</w:t>
      </w:r>
    </w:p>
    <w:p w14:paraId="4D0540E2" w14:textId="77777777" w:rsidR="006E4315" w:rsidRDefault="00474DB9">
      <w:pPr>
        <w:pStyle w:val="Textbody"/>
        <w:numPr>
          <w:ilvl w:val="0"/>
          <w:numId w:val="1"/>
        </w:numPr>
      </w:pPr>
      <w:hyperlink r:id="rId10" w:history="1">
        <w:r>
          <w:t>Methodische Hi</w:t>
        </w:r>
        <w:r>
          <w:t>nweise</w:t>
        </w:r>
      </w:hyperlink>
      <w:r>
        <w:t xml:space="preserve"> für Lehrerinnen und Lehrer</w:t>
      </w:r>
    </w:p>
    <w:p w14:paraId="5D96F7F0" w14:textId="77777777" w:rsidR="006E4315" w:rsidRDefault="00474DB9">
      <w:pPr>
        <w:pStyle w:val="Textbody"/>
        <w:numPr>
          <w:ilvl w:val="0"/>
          <w:numId w:val="1"/>
        </w:numPr>
      </w:pPr>
      <w:r>
        <w:t xml:space="preserve">Für Lateinklassen, die auch Griechisch-Unterricht haben: </w:t>
      </w:r>
      <w:hyperlink r:id="rId11" w:history="1">
        <w:r>
          <w:t>Stilmittel bei Herodot</w:t>
        </w:r>
      </w:hyperlink>
    </w:p>
    <w:p w14:paraId="03B2AA3A" w14:textId="77777777" w:rsidR="006E4315" w:rsidRDefault="00474DB9">
      <w:pPr>
        <w:pStyle w:val="berschrift1"/>
      </w:pPr>
      <w:r>
        <w:t>Liste der Stilmittel</w:t>
      </w:r>
    </w:p>
    <w:p w14:paraId="78392618" w14:textId="77777777" w:rsidR="006E4315" w:rsidRDefault="00474DB9">
      <w:pPr>
        <w:pStyle w:val="berschrift2"/>
      </w:pPr>
      <w:bookmarkStart w:id="0" w:name="alliteration"/>
      <w:bookmarkStart w:id="1" w:name="_Ref99277324"/>
      <w:bookmarkEnd w:id="0"/>
      <w:r>
        <w:t>Alliteration</w:t>
      </w:r>
      <w:bookmarkEnd w:id="1"/>
    </w:p>
    <w:p w14:paraId="43775B4F" w14:textId="77777777" w:rsidR="006E4315" w:rsidRDefault="00474DB9">
      <w:pPr>
        <w:pStyle w:val="Textbody"/>
        <w:numPr>
          <w:ilvl w:val="0"/>
          <w:numId w:val="2"/>
        </w:numPr>
        <w:spacing w:after="0"/>
      </w:pPr>
      <w:r>
        <w:rPr>
          <w:rStyle w:val="StrongEmphasis"/>
        </w:rPr>
        <w:t>Aussprache</w:t>
      </w:r>
      <w:r>
        <w:t xml:space="preserve">: Betonung </w:t>
      </w:r>
      <w:r>
        <w:t>auf der letzten Silbe</w:t>
      </w:r>
    </w:p>
    <w:p w14:paraId="54F6B173" w14:textId="77777777" w:rsidR="006E4315" w:rsidRDefault="00474DB9">
      <w:pPr>
        <w:pStyle w:val="Textbody"/>
        <w:numPr>
          <w:ilvl w:val="0"/>
          <w:numId w:val="2"/>
        </w:numPr>
        <w:spacing w:after="0"/>
      </w:pPr>
      <w:r>
        <w:rPr>
          <w:rStyle w:val="StrongEmphasis"/>
        </w:rPr>
        <w:t>Übersetzung des Begriffs</w:t>
      </w:r>
      <w:r>
        <w:t xml:space="preserve">: </w:t>
      </w:r>
      <w:proofErr w:type="spellStart"/>
      <w:r>
        <w:t>Anlautung</w:t>
      </w:r>
      <w:proofErr w:type="spellEnd"/>
      <w:r>
        <w:t xml:space="preserve"> (von lat. ad + </w:t>
      </w:r>
      <w:proofErr w:type="spellStart"/>
      <w:r>
        <w:t>littera</w:t>
      </w:r>
      <w:proofErr w:type="spellEnd"/>
      <w:r>
        <w:t>)</w:t>
      </w:r>
    </w:p>
    <w:p w14:paraId="17027B1F" w14:textId="77777777" w:rsidR="006E4315" w:rsidRDefault="00474DB9">
      <w:pPr>
        <w:pStyle w:val="Textbody"/>
        <w:numPr>
          <w:ilvl w:val="0"/>
          <w:numId w:val="2"/>
        </w:numPr>
        <w:spacing w:after="0"/>
      </w:pPr>
      <w:r>
        <w:rPr>
          <w:rStyle w:val="StrongEmphasis"/>
        </w:rPr>
        <w:t>Erklärung</w:t>
      </w:r>
      <w:r>
        <w:t xml:space="preserve">: Derselbe Buchstabe bzw. Laut wird am Wortanfang wiederholt; oder: mehrere Wörter, die mit dem gleichen Laut beginnen, stehen im gleichen Vers oder Satz. Die </w:t>
      </w:r>
      <w:r>
        <w:t>Alliteration wird auch als Stabreim bezeichnet. Der Stabreim war ein wichtiges Merkmal der althochdeutschen Dichtung.</w:t>
      </w:r>
    </w:p>
    <w:p w14:paraId="553A0EC8" w14:textId="77777777" w:rsidR="006E4315" w:rsidRDefault="00474DB9">
      <w:pPr>
        <w:pStyle w:val="Textbody"/>
        <w:numPr>
          <w:ilvl w:val="0"/>
          <w:numId w:val="2"/>
        </w:numPr>
        <w:spacing w:after="0"/>
      </w:pPr>
      <w:r>
        <w:rPr>
          <w:rStyle w:val="StrongEmphasis"/>
        </w:rPr>
        <w:t>Beispiele</w:t>
      </w:r>
      <w:r>
        <w:t>:</w:t>
      </w:r>
    </w:p>
    <w:p w14:paraId="2F55E32D" w14:textId="77777777" w:rsidR="006E4315" w:rsidRDefault="00474DB9">
      <w:pPr>
        <w:pStyle w:val="Textbody"/>
        <w:numPr>
          <w:ilvl w:val="1"/>
          <w:numId w:val="2"/>
        </w:numPr>
        <w:spacing w:after="0"/>
      </w:pPr>
      <w:proofErr w:type="spellStart"/>
      <w:r>
        <w:t>Iniuriam</w:t>
      </w:r>
      <w:proofErr w:type="spellEnd"/>
      <w:r>
        <w:t xml:space="preserve"> </w:t>
      </w:r>
      <w:proofErr w:type="spellStart"/>
      <w:r>
        <w:rPr>
          <w:rStyle w:val="StrongEmphasis"/>
        </w:rPr>
        <w:t>f</w:t>
      </w:r>
      <w:r>
        <w:t>acilius</w:t>
      </w:r>
      <w:proofErr w:type="spellEnd"/>
      <w:r>
        <w:t xml:space="preserve"> </w:t>
      </w:r>
      <w:proofErr w:type="spellStart"/>
      <w:r>
        <w:rPr>
          <w:rStyle w:val="StrongEmphasis"/>
        </w:rPr>
        <w:t>f</w:t>
      </w:r>
      <w:r>
        <w:t>acias</w:t>
      </w:r>
      <w:proofErr w:type="spellEnd"/>
      <w:r>
        <w:t xml:space="preserve"> quam </w:t>
      </w:r>
      <w:proofErr w:type="spellStart"/>
      <w:r>
        <w:rPr>
          <w:rStyle w:val="StrongEmphasis"/>
        </w:rPr>
        <w:t>f</w:t>
      </w:r>
      <w:r>
        <w:t>eras</w:t>
      </w:r>
      <w:proofErr w:type="spellEnd"/>
      <w:r>
        <w:t>. (</w:t>
      </w:r>
      <w:proofErr w:type="spellStart"/>
      <w:r>
        <w:t>Publilius</w:t>
      </w:r>
      <w:proofErr w:type="spellEnd"/>
      <w:r>
        <w:t xml:space="preserve"> </w:t>
      </w:r>
      <w:proofErr w:type="spellStart"/>
      <w:r>
        <w:t>Syrus</w:t>
      </w:r>
      <w:proofErr w:type="spellEnd"/>
      <w:r>
        <w:t>)</w:t>
      </w:r>
      <w:r>
        <w:br/>
      </w:r>
      <w:r>
        <w:rPr>
          <w:rStyle w:val="Hervorhebung"/>
        </w:rPr>
        <w:t>Übersetzung</w:t>
      </w:r>
      <w:r>
        <w:t>: Ein Unrecht begeht man leichter, als man es erträgt.</w:t>
      </w:r>
    </w:p>
    <w:p w14:paraId="0CF90AFE" w14:textId="77777777" w:rsidR="006E4315" w:rsidRDefault="00474DB9">
      <w:pPr>
        <w:pStyle w:val="Textbody"/>
        <w:numPr>
          <w:ilvl w:val="1"/>
          <w:numId w:val="2"/>
        </w:numPr>
        <w:spacing w:after="0"/>
      </w:pPr>
      <w:r>
        <w:t xml:space="preserve">In </w:t>
      </w:r>
      <w:r>
        <w:t>der deutschen Sprache gibt es viele Redewendungen, die durch Alliterationen zusammengehalten werden:</w:t>
      </w:r>
    </w:p>
    <w:p w14:paraId="49277D5A" w14:textId="77777777" w:rsidR="006E4315" w:rsidRDefault="00474DB9">
      <w:pPr>
        <w:pStyle w:val="Textbody"/>
        <w:numPr>
          <w:ilvl w:val="2"/>
          <w:numId w:val="2"/>
        </w:numPr>
        <w:spacing w:after="0"/>
      </w:pPr>
      <w:r>
        <w:t>mit Kind und Kegel</w:t>
      </w:r>
    </w:p>
    <w:p w14:paraId="0B00BFB0" w14:textId="77777777" w:rsidR="006E4315" w:rsidRDefault="00474DB9">
      <w:pPr>
        <w:pStyle w:val="Textbody"/>
        <w:numPr>
          <w:ilvl w:val="2"/>
          <w:numId w:val="2"/>
        </w:numPr>
        <w:spacing w:after="0"/>
      </w:pPr>
      <w:r>
        <w:t>mit Mann und Maus untergehen</w:t>
      </w:r>
    </w:p>
    <w:p w14:paraId="36C67C2F" w14:textId="77777777" w:rsidR="006E4315" w:rsidRDefault="00474DB9">
      <w:pPr>
        <w:pStyle w:val="Textbody"/>
        <w:numPr>
          <w:ilvl w:val="2"/>
          <w:numId w:val="2"/>
        </w:numPr>
        <w:spacing w:after="0"/>
      </w:pPr>
      <w:r>
        <w:t>Tod und Teufel</w:t>
      </w:r>
    </w:p>
    <w:p w14:paraId="7796E838" w14:textId="77777777" w:rsidR="006E4315" w:rsidRDefault="00474DB9">
      <w:pPr>
        <w:pStyle w:val="Textbody"/>
        <w:numPr>
          <w:ilvl w:val="2"/>
          <w:numId w:val="2"/>
        </w:numPr>
        <w:spacing w:after="0"/>
      </w:pPr>
      <w:r>
        <w:t>Sprichwort: „Glück und Glas, wie leicht bricht das!“</w:t>
      </w:r>
    </w:p>
    <w:p w14:paraId="7357A1AE" w14:textId="77777777" w:rsidR="006E4315" w:rsidRDefault="00474DB9">
      <w:pPr>
        <w:pStyle w:val="Textbody"/>
        <w:numPr>
          <w:ilvl w:val="0"/>
          <w:numId w:val="2"/>
        </w:numPr>
      </w:pPr>
      <w:r>
        <w:t>Alternative / verwandtes Stilmittel</w:t>
      </w:r>
      <w:r>
        <w:t xml:space="preserve">: </w:t>
      </w:r>
      <w:hyperlink r:id="rId12" w:history="1">
        <w:r w:rsidRPr="00547EBF">
          <w:rPr>
            <w:color w:val="2F5496" w:themeColor="accent1" w:themeShade="BF"/>
            <w:u w:val="single"/>
          </w:rPr>
          <w:t>↓ Assonanz ↓</w:t>
        </w:r>
      </w:hyperlink>
      <w:r>
        <w:t>. Dort findet sich ein Zitat (Clemens Brentano), das sowohl Alliterationen als auch Assonanzen enthält.</w:t>
      </w:r>
    </w:p>
    <w:p w14:paraId="03E27B70" w14:textId="77777777" w:rsidR="006E4315" w:rsidRDefault="00474DB9">
      <w:pPr>
        <w:pStyle w:val="berschrift2"/>
      </w:pPr>
      <w:bookmarkStart w:id="2" w:name="anapher"/>
      <w:bookmarkEnd w:id="2"/>
      <w:r>
        <w:lastRenderedPageBreak/>
        <w:t>Anapher</w:t>
      </w:r>
    </w:p>
    <w:p w14:paraId="22A62878" w14:textId="77777777" w:rsidR="006E4315" w:rsidRDefault="00474DB9">
      <w:pPr>
        <w:pStyle w:val="Textbody"/>
        <w:numPr>
          <w:ilvl w:val="0"/>
          <w:numId w:val="3"/>
        </w:numPr>
        <w:spacing w:after="0"/>
      </w:pPr>
      <w:r>
        <w:rPr>
          <w:rStyle w:val="StrongEmphasis"/>
        </w:rPr>
        <w:t>Aussprache:</w:t>
      </w:r>
      <w:r>
        <w:t xml:space="preserve"> Betonung auf der mittleren Silbe</w:t>
      </w:r>
    </w:p>
    <w:p w14:paraId="5B6B4096" w14:textId="77777777" w:rsidR="006E4315" w:rsidRDefault="00474DB9">
      <w:pPr>
        <w:pStyle w:val="Textbody"/>
        <w:numPr>
          <w:ilvl w:val="0"/>
          <w:numId w:val="3"/>
        </w:numPr>
        <w:spacing w:after="0"/>
      </w:pPr>
      <w:r>
        <w:rPr>
          <w:rStyle w:val="StrongEmphasis"/>
        </w:rPr>
        <w:t>Übersetzung</w:t>
      </w:r>
      <w:r>
        <w:t xml:space="preserve"> des Begriffs: Beziehung, von gr. </w:t>
      </w:r>
      <w:proofErr w:type="spellStart"/>
      <w:r>
        <w:t>ἀ</w:t>
      </w:r>
      <w:r>
        <w:t>ν</w:t>
      </w:r>
      <w:proofErr w:type="spellEnd"/>
      <w:r>
        <w:t xml:space="preserve">αφορά bzw. </w:t>
      </w:r>
      <w:proofErr w:type="spellStart"/>
      <w:r>
        <w:t>ἀ</w:t>
      </w:r>
      <w:r>
        <w:t>ν</w:t>
      </w:r>
      <w:proofErr w:type="spellEnd"/>
      <w:r>
        <w:t>αφέρω (zurückführen, zurückbeziehen).</w:t>
      </w:r>
    </w:p>
    <w:p w14:paraId="3C998EC9" w14:textId="77777777" w:rsidR="006E4315" w:rsidRDefault="00474DB9">
      <w:pPr>
        <w:pStyle w:val="Textbody"/>
        <w:numPr>
          <w:ilvl w:val="0"/>
          <w:numId w:val="3"/>
        </w:numPr>
        <w:spacing w:after="0"/>
      </w:pPr>
      <w:r>
        <w:rPr>
          <w:rStyle w:val="StrongEmphasis"/>
        </w:rPr>
        <w:t>Erklärung</w:t>
      </w:r>
      <w:r>
        <w:t xml:space="preserve">: Ein Wort wird am Beginn mehrerer Sätze oder Satzteile wiederholt. Es muss dabei die gleiche Wortform verwendet </w:t>
      </w:r>
      <w:r>
        <w:t>werden.</w:t>
      </w:r>
    </w:p>
    <w:p w14:paraId="6A079C1E" w14:textId="77777777" w:rsidR="006E4315" w:rsidRDefault="00474DB9">
      <w:pPr>
        <w:pStyle w:val="Textbody"/>
        <w:numPr>
          <w:ilvl w:val="0"/>
          <w:numId w:val="3"/>
        </w:numPr>
        <w:spacing w:after="0"/>
      </w:pPr>
      <w:r>
        <w:rPr>
          <w:rStyle w:val="StrongEmphasis"/>
        </w:rPr>
        <w:t>Beispiele</w:t>
      </w:r>
      <w:r>
        <w:t>:</w:t>
      </w:r>
    </w:p>
    <w:p w14:paraId="40FD28B4" w14:textId="77777777" w:rsidR="006E4315" w:rsidRDefault="00474DB9">
      <w:pPr>
        <w:pStyle w:val="Textbody"/>
        <w:numPr>
          <w:ilvl w:val="1"/>
          <w:numId w:val="3"/>
        </w:numPr>
        <w:spacing w:after="0"/>
      </w:pPr>
      <w:r>
        <w:rPr>
          <w:rStyle w:val="StrongEmphasis"/>
        </w:rPr>
        <w:t>Sic</w:t>
      </w:r>
      <w:r>
        <w:t xml:space="preserve"> </w:t>
      </w:r>
      <w:proofErr w:type="spellStart"/>
      <w:r>
        <w:t>enim</w:t>
      </w:r>
      <w:proofErr w:type="spellEnd"/>
      <w:r>
        <w:t xml:space="preserve"> </w:t>
      </w:r>
      <w:proofErr w:type="spellStart"/>
      <w:r>
        <w:t>perspicio</w:t>
      </w:r>
      <w:proofErr w:type="spellEnd"/>
      <w:r>
        <w:t xml:space="preserve">, </w:t>
      </w:r>
      <w:r>
        <w:rPr>
          <w:rStyle w:val="StrongEmphasis"/>
        </w:rPr>
        <w:t>sic</w:t>
      </w:r>
      <w:r>
        <w:t xml:space="preserve"> </w:t>
      </w:r>
      <w:proofErr w:type="spellStart"/>
      <w:r>
        <w:t>iudico</w:t>
      </w:r>
      <w:proofErr w:type="spellEnd"/>
      <w:r>
        <w:t xml:space="preserve">. (Cicero, </w:t>
      </w:r>
      <w:proofErr w:type="spellStart"/>
      <w:r>
        <w:t>Philippicae</w:t>
      </w:r>
      <w:proofErr w:type="spellEnd"/>
      <w:r>
        <w:t xml:space="preserve"> 3, 5)</w:t>
      </w:r>
      <w:r>
        <w:br/>
      </w:r>
      <w:r>
        <w:rPr>
          <w:rStyle w:val="StrongEmphasis"/>
        </w:rPr>
        <w:t>Übersetzung</w:t>
      </w:r>
      <w:r>
        <w:t>: So sehe ich es nämlich, so beurteile ich es.</w:t>
      </w:r>
    </w:p>
    <w:p w14:paraId="4B0F5A41" w14:textId="77777777" w:rsidR="006E4315" w:rsidRDefault="00474DB9">
      <w:pPr>
        <w:pStyle w:val="Textbody"/>
        <w:numPr>
          <w:ilvl w:val="1"/>
          <w:numId w:val="3"/>
        </w:numPr>
      </w:pPr>
      <w:r>
        <w:rPr>
          <w:rStyle w:val="StrongEmphasis"/>
        </w:rPr>
        <w:t xml:space="preserve">Es </w:t>
      </w:r>
      <w:r>
        <w:t xml:space="preserve">schlägt mein Herz, </w:t>
      </w:r>
      <w:r>
        <w:rPr>
          <w:rStyle w:val="StrongEmphasis"/>
        </w:rPr>
        <w:t>es</w:t>
      </w:r>
      <w:r>
        <w:t xml:space="preserve"> trübt sich meine Seele / ...</w:t>
      </w:r>
      <w:r>
        <w:br/>
      </w:r>
      <w:r>
        <w:t>(Johann Wolfgang v. Goethe: Iphigenie auf Tauris V. 1418)</w:t>
      </w:r>
    </w:p>
    <w:p w14:paraId="270659CA" w14:textId="77777777" w:rsidR="006E4315" w:rsidRDefault="00474DB9">
      <w:pPr>
        <w:pStyle w:val="berschrift2"/>
      </w:pPr>
      <w:bookmarkStart w:id="3" w:name="antithese"/>
      <w:bookmarkEnd w:id="3"/>
      <w:r>
        <w:t>Antit</w:t>
      </w:r>
      <w:r>
        <w:t>hese</w:t>
      </w:r>
    </w:p>
    <w:p w14:paraId="39AF5C9F" w14:textId="77777777" w:rsidR="006E4315" w:rsidRDefault="00474DB9">
      <w:pPr>
        <w:pStyle w:val="Textbody"/>
        <w:numPr>
          <w:ilvl w:val="0"/>
          <w:numId w:val="4"/>
        </w:numPr>
        <w:spacing w:after="0"/>
      </w:pPr>
      <w:r>
        <w:rPr>
          <w:rStyle w:val="StrongEmphasis"/>
        </w:rPr>
        <w:t>Übersetzung</w:t>
      </w:r>
      <w:r>
        <w:t xml:space="preserve">: Gegenüberstellung (von gr. </w:t>
      </w:r>
      <w:proofErr w:type="spellStart"/>
      <w:r>
        <w:t>ἀ</w:t>
      </w:r>
      <w:r>
        <w:t>ντίθεσις</w:t>
      </w:r>
      <w:proofErr w:type="spellEnd"/>
      <w:r>
        <w:t xml:space="preserve"> / </w:t>
      </w:r>
      <w:proofErr w:type="spellStart"/>
      <w:r>
        <w:t>antithesis</w:t>
      </w:r>
      <w:proofErr w:type="spellEnd"/>
      <w:r>
        <w:t>)</w:t>
      </w:r>
    </w:p>
    <w:p w14:paraId="1781091F" w14:textId="77777777" w:rsidR="006E4315" w:rsidRDefault="00474DB9">
      <w:pPr>
        <w:pStyle w:val="Textbody"/>
        <w:numPr>
          <w:ilvl w:val="0"/>
          <w:numId w:val="4"/>
        </w:numPr>
        <w:spacing w:after="0"/>
      </w:pPr>
      <w:r>
        <w:rPr>
          <w:rStyle w:val="StrongEmphasis"/>
        </w:rPr>
        <w:t>Erklärung</w:t>
      </w:r>
      <w:r>
        <w:t>: Kontrastierende Gegenüberstellung zweier widersprüchlicher Begriffe oder Wörter</w:t>
      </w:r>
    </w:p>
    <w:p w14:paraId="4C479712" w14:textId="77777777" w:rsidR="006E4315" w:rsidRDefault="00474DB9">
      <w:pPr>
        <w:pStyle w:val="Textbody"/>
        <w:numPr>
          <w:ilvl w:val="0"/>
          <w:numId w:val="4"/>
        </w:numPr>
        <w:spacing w:after="0"/>
      </w:pPr>
      <w:r>
        <w:rPr>
          <w:rStyle w:val="StrongEmphasis"/>
        </w:rPr>
        <w:t>Beispiele</w:t>
      </w:r>
      <w:r>
        <w:t>:</w:t>
      </w:r>
    </w:p>
    <w:p w14:paraId="717B58D7" w14:textId="77777777" w:rsidR="006E4315" w:rsidRDefault="00474DB9">
      <w:pPr>
        <w:pStyle w:val="Textbody"/>
        <w:numPr>
          <w:ilvl w:val="1"/>
          <w:numId w:val="4"/>
        </w:numPr>
        <w:spacing w:after="0"/>
      </w:pPr>
      <w:r>
        <w:t xml:space="preserve">O </w:t>
      </w:r>
      <w:proofErr w:type="spellStart"/>
      <w:r>
        <w:t>vitam</w:t>
      </w:r>
      <w:proofErr w:type="spellEnd"/>
      <w:r>
        <w:t xml:space="preserve"> </w:t>
      </w:r>
      <w:proofErr w:type="spellStart"/>
      <w:r>
        <w:t>misero</w:t>
      </w:r>
      <w:proofErr w:type="spellEnd"/>
      <w:r>
        <w:t xml:space="preserve"> </w:t>
      </w:r>
      <w:proofErr w:type="spellStart"/>
      <w:r>
        <w:t>longam</w:t>
      </w:r>
      <w:proofErr w:type="spellEnd"/>
      <w:r>
        <w:t xml:space="preserve">, </w:t>
      </w:r>
      <w:proofErr w:type="spellStart"/>
      <w:r>
        <w:t>felici</w:t>
      </w:r>
      <w:proofErr w:type="spellEnd"/>
      <w:r>
        <w:t xml:space="preserve"> </w:t>
      </w:r>
      <w:proofErr w:type="spellStart"/>
      <w:r>
        <w:t>brevem</w:t>
      </w:r>
      <w:proofErr w:type="spellEnd"/>
      <w:r>
        <w:t>! (</w:t>
      </w:r>
      <w:proofErr w:type="spellStart"/>
      <w:r>
        <w:t>Publilius</w:t>
      </w:r>
      <w:proofErr w:type="spellEnd"/>
      <w:r>
        <w:t xml:space="preserve"> </w:t>
      </w:r>
      <w:proofErr w:type="spellStart"/>
      <w:r>
        <w:t>Syrus</w:t>
      </w:r>
      <w:proofErr w:type="spellEnd"/>
      <w:r>
        <w:t>)</w:t>
      </w:r>
      <w:r>
        <w:br/>
      </w:r>
      <w:r>
        <w:t>Übersetzung: Ach, das Lebe</w:t>
      </w:r>
      <w:r>
        <w:t>n ist für den Elenden lang, für den Glücklichen kurz!</w:t>
      </w:r>
      <w:r>
        <w:br/>
      </w:r>
      <w:r>
        <w:t xml:space="preserve">Erläuterung: </w:t>
      </w:r>
      <w:proofErr w:type="spellStart"/>
      <w:r>
        <w:rPr>
          <w:rStyle w:val="Hervorhebung"/>
        </w:rPr>
        <w:t>misero</w:t>
      </w:r>
      <w:proofErr w:type="spellEnd"/>
      <w:r>
        <w:t xml:space="preserve"> steht in Antithese zu </w:t>
      </w:r>
      <w:proofErr w:type="spellStart"/>
      <w:r>
        <w:rPr>
          <w:rStyle w:val="Hervorhebung"/>
        </w:rPr>
        <w:t>felici</w:t>
      </w:r>
      <w:proofErr w:type="spellEnd"/>
      <w:r>
        <w:t xml:space="preserve">, </w:t>
      </w:r>
      <w:proofErr w:type="spellStart"/>
      <w:r>
        <w:rPr>
          <w:rStyle w:val="Hervorhebung"/>
        </w:rPr>
        <w:t>longam</w:t>
      </w:r>
      <w:proofErr w:type="spellEnd"/>
      <w:r>
        <w:t xml:space="preserve"> zu </w:t>
      </w:r>
      <w:proofErr w:type="spellStart"/>
      <w:r>
        <w:rPr>
          <w:rStyle w:val="Hervorhebung"/>
        </w:rPr>
        <w:t>brevem</w:t>
      </w:r>
      <w:proofErr w:type="spellEnd"/>
      <w:r>
        <w:rPr>
          <w:rStyle w:val="Hervorhebung"/>
        </w:rPr>
        <w:t>.</w:t>
      </w:r>
      <w:r>
        <w:t xml:space="preserve"> Der Satz ist zugleich ein Beispiel für den </w:t>
      </w:r>
      <w:hyperlink r:id="rId13" w:history="1">
        <w:r w:rsidRPr="00547EBF">
          <w:rPr>
            <w:color w:val="2F5496" w:themeColor="accent1" w:themeShade="BF"/>
            <w:u w:val="single"/>
          </w:rPr>
          <w:t>↓ Paralleli</w:t>
        </w:r>
        <w:r w:rsidRPr="00547EBF">
          <w:rPr>
            <w:color w:val="2F5496" w:themeColor="accent1" w:themeShade="BF"/>
            <w:u w:val="single"/>
          </w:rPr>
          <w:t>s</w:t>
        </w:r>
        <w:r w:rsidRPr="00547EBF">
          <w:rPr>
            <w:color w:val="2F5496" w:themeColor="accent1" w:themeShade="BF"/>
            <w:u w:val="single"/>
          </w:rPr>
          <w:t>mus ↓</w:t>
        </w:r>
      </w:hyperlink>
      <w:r>
        <w:t xml:space="preserve">.  </w:t>
      </w:r>
    </w:p>
    <w:p w14:paraId="240C1F00" w14:textId="77777777" w:rsidR="006E4315" w:rsidRDefault="00474DB9">
      <w:pPr>
        <w:pStyle w:val="Textbody"/>
        <w:numPr>
          <w:ilvl w:val="1"/>
          <w:numId w:val="4"/>
        </w:numPr>
        <w:spacing w:after="0"/>
      </w:pPr>
      <w:r>
        <w:t>Viele deutsche Redewendungen verwenden</w:t>
      </w:r>
      <w:r>
        <w:t xml:space="preserve"> Antithesen:</w:t>
      </w:r>
    </w:p>
    <w:p w14:paraId="000E1640" w14:textId="77777777" w:rsidR="006E4315" w:rsidRDefault="00474DB9">
      <w:pPr>
        <w:pStyle w:val="Textbody"/>
        <w:numPr>
          <w:ilvl w:val="2"/>
          <w:numId w:val="4"/>
        </w:numPr>
        <w:spacing w:after="0"/>
      </w:pPr>
      <w:r>
        <w:t>Alt und Jung</w:t>
      </w:r>
    </w:p>
    <w:p w14:paraId="37784129" w14:textId="77777777" w:rsidR="006E4315" w:rsidRDefault="00474DB9">
      <w:pPr>
        <w:pStyle w:val="Textbody"/>
        <w:numPr>
          <w:ilvl w:val="2"/>
          <w:numId w:val="4"/>
        </w:numPr>
      </w:pPr>
      <w:r>
        <w:t>Groß und Klein</w:t>
      </w:r>
    </w:p>
    <w:p w14:paraId="1B68864F" w14:textId="77777777" w:rsidR="006E4315" w:rsidRDefault="00474DB9">
      <w:pPr>
        <w:pStyle w:val="berschrift2"/>
      </w:pPr>
      <w:bookmarkStart w:id="4" w:name="apostrophe"/>
      <w:bookmarkEnd w:id="4"/>
      <w:r>
        <w:t>Apostrophe</w:t>
      </w:r>
    </w:p>
    <w:p w14:paraId="13F53F99" w14:textId="77777777" w:rsidR="006E4315" w:rsidRDefault="00474DB9">
      <w:pPr>
        <w:pStyle w:val="Textbody"/>
        <w:numPr>
          <w:ilvl w:val="0"/>
          <w:numId w:val="5"/>
        </w:numPr>
        <w:spacing w:after="0"/>
      </w:pPr>
      <w:r>
        <w:rPr>
          <w:rStyle w:val="StrongEmphasis"/>
        </w:rPr>
        <w:t>Übersetzung</w:t>
      </w:r>
      <w:r>
        <w:t xml:space="preserve"> des Begriffs: Abwendung (von griechisch </w:t>
      </w:r>
      <w:r>
        <w:t>ἀ</w:t>
      </w:r>
      <w:r>
        <w:t>π</w:t>
      </w:r>
      <w:proofErr w:type="spellStart"/>
      <w:r>
        <w:t>οστροφή</w:t>
      </w:r>
      <w:proofErr w:type="spellEnd"/>
      <w:r>
        <w:t>)</w:t>
      </w:r>
    </w:p>
    <w:p w14:paraId="42957B37" w14:textId="77777777" w:rsidR="006E4315" w:rsidRDefault="00474DB9">
      <w:pPr>
        <w:pStyle w:val="Textbody"/>
        <w:numPr>
          <w:ilvl w:val="0"/>
          <w:numId w:val="5"/>
        </w:numPr>
        <w:spacing w:after="0"/>
      </w:pPr>
      <w:r>
        <w:rPr>
          <w:rStyle w:val="StrongEmphasis"/>
        </w:rPr>
        <w:t>Erklärung</w:t>
      </w:r>
      <w:r>
        <w:t>: Abwendung von den Lesern oder Zuhörern und Hinwendung zu einem gedachten Ansprechpartner, meist zu einer Figur, die in dem Text vorkommt</w:t>
      </w:r>
    </w:p>
    <w:p w14:paraId="7BA4D461" w14:textId="77777777" w:rsidR="006E4315" w:rsidRDefault="00474DB9">
      <w:pPr>
        <w:pStyle w:val="Textbody"/>
        <w:numPr>
          <w:ilvl w:val="0"/>
          <w:numId w:val="5"/>
        </w:numPr>
      </w:pPr>
      <w:r>
        <w:rPr>
          <w:rStyle w:val="StrongEmphasis"/>
        </w:rPr>
        <w:t xml:space="preserve">Beispiel: </w:t>
      </w:r>
      <w:r>
        <w:t>In der so genannten Heldenschau im 6. Buch von</w:t>
      </w:r>
      <w:r>
        <w:t xml:space="preserve"> Vergils Aeneis spricht Aeneas' Vater </w:t>
      </w:r>
      <w:proofErr w:type="spellStart"/>
      <w:r>
        <w:t>Anchises</w:t>
      </w:r>
      <w:proofErr w:type="spellEnd"/>
      <w:r>
        <w:t xml:space="preserve"> über das künftige Schicksal und die Aufgaben der Römer, in diesen Versen:</w:t>
      </w:r>
      <w:r>
        <w:br/>
      </w:r>
      <w:proofErr w:type="gramStart"/>
      <w:r>
        <w:t>Tu</w:t>
      </w:r>
      <w:proofErr w:type="gramEnd"/>
      <w:r>
        <w:t xml:space="preserve"> regere </w:t>
      </w:r>
      <w:proofErr w:type="spellStart"/>
      <w:r>
        <w:t>imperio</w:t>
      </w:r>
      <w:proofErr w:type="spellEnd"/>
      <w:r>
        <w:t xml:space="preserve"> </w:t>
      </w:r>
      <w:proofErr w:type="spellStart"/>
      <w:r>
        <w:t>populos</w:t>
      </w:r>
      <w:proofErr w:type="spellEnd"/>
      <w:r>
        <w:t xml:space="preserve">, </w:t>
      </w:r>
      <w:r>
        <w:rPr>
          <w:rStyle w:val="StrongEmphasis"/>
        </w:rPr>
        <w:t>Romane</w:t>
      </w:r>
      <w:r>
        <w:t xml:space="preserve">, </w:t>
      </w:r>
      <w:proofErr w:type="spellStart"/>
      <w:r>
        <w:t>memento</w:t>
      </w:r>
      <w:proofErr w:type="spellEnd"/>
      <w:r>
        <w:t xml:space="preserve"> (Vergil, Aeneis 6, 851)</w:t>
      </w:r>
      <w:r>
        <w:br/>
      </w:r>
      <w:r>
        <w:t xml:space="preserve">Du, </w:t>
      </w:r>
      <w:r>
        <w:rPr>
          <w:rStyle w:val="StrongEmphasis"/>
        </w:rPr>
        <w:t>Römer</w:t>
      </w:r>
      <w:r>
        <w:t>, denke daran, die Völker zu beherrschen ...</w:t>
      </w:r>
      <w:r>
        <w:br/>
      </w:r>
      <w:r>
        <w:t>Sprachlich wir</w:t>
      </w:r>
      <w:r>
        <w:t xml:space="preserve">d die Apostrophe in diesem Beispiel durch den Vokativ hervorgehoben. Weitere Erläuterungen in der </w:t>
      </w:r>
      <w:hyperlink r:id="rId14" w:history="1">
        <w:r>
          <w:t>Inhaltsangabe zum 6. Buch der Aeneis</w:t>
        </w:r>
      </w:hyperlink>
      <w:r>
        <w:t>.</w:t>
      </w:r>
    </w:p>
    <w:p w14:paraId="7D74808D" w14:textId="77777777" w:rsidR="006E4315" w:rsidRDefault="00474DB9">
      <w:pPr>
        <w:pStyle w:val="berschrift2"/>
      </w:pPr>
      <w:bookmarkStart w:id="5" w:name="assonanz"/>
      <w:bookmarkEnd w:id="5"/>
      <w:r>
        <w:t>Assonanz</w:t>
      </w:r>
    </w:p>
    <w:p w14:paraId="7974900A" w14:textId="77777777" w:rsidR="006E4315" w:rsidRDefault="00474DB9">
      <w:pPr>
        <w:pStyle w:val="Textbody"/>
        <w:numPr>
          <w:ilvl w:val="0"/>
          <w:numId w:val="6"/>
        </w:numPr>
        <w:spacing w:after="0"/>
      </w:pPr>
      <w:r>
        <w:rPr>
          <w:rStyle w:val="StrongEmphasis"/>
        </w:rPr>
        <w:t>Übersetzung</w:t>
      </w:r>
      <w:r>
        <w:t xml:space="preserve"> des </w:t>
      </w:r>
      <w:r>
        <w:t>Begriffs: Anklang</w:t>
      </w:r>
    </w:p>
    <w:p w14:paraId="07C6C25A" w14:textId="77777777" w:rsidR="006E4315" w:rsidRDefault="00474DB9">
      <w:pPr>
        <w:pStyle w:val="Textbody"/>
        <w:numPr>
          <w:ilvl w:val="0"/>
          <w:numId w:val="6"/>
        </w:numPr>
        <w:spacing w:after="0"/>
      </w:pPr>
      <w:r>
        <w:rPr>
          <w:rStyle w:val="StrongEmphasis"/>
        </w:rPr>
        <w:t>Erklärung</w:t>
      </w:r>
      <w:r>
        <w:t>: Wiederholung eines Vokals oder Konsonanten (also eines Lautes) im selben Vers oder im selben Satz</w:t>
      </w:r>
    </w:p>
    <w:p w14:paraId="6F1AADC4" w14:textId="77777777" w:rsidR="006E4315" w:rsidRDefault="00474DB9">
      <w:pPr>
        <w:pStyle w:val="Textbody"/>
        <w:numPr>
          <w:ilvl w:val="0"/>
          <w:numId w:val="6"/>
        </w:numPr>
        <w:spacing w:after="0"/>
      </w:pPr>
      <w:r>
        <w:rPr>
          <w:rStyle w:val="StrongEmphasis"/>
        </w:rPr>
        <w:t>Beispiele:</w:t>
      </w:r>
    </w:p>
    <w:p w14:paraId="6D892572" w14:textId="77777777" w:rsidR="006E4315" w:rsidRDefault="00474DB9">
      <w:pPr>
        <w:pStyle w:val="Textbody"/>
        <w:numPr>
          <w:ilvl w:val="1"/>
          <w:numId w:val="6"/>
        </w:numPr>
        <w:spacing w:after="0"/>
      </w:pPr>
      <w:proofErr w:type="spellStart"/>
      <w:r>
        <w:lastRenderedPageBreak/>
        <w:t>quin</w:t>
      </w:r>
      <w:proofErr w:type="spellEnd"/>
      <w:r>
        <w:t xml:space="preserve"> </w:t>
      </w:r>
      <w:proofErr w:type="spellStart"/>
      <w:r>
        <w:t>etiam</w:t>
      </w:r>
      <w:proofErr w:type="spellEnd"/>
      <w:r>
        <w:t xml:space="preserve"> </w:t>
      </w:r>
      <w:proofErr w:type="spellStart"/>
      <w:r>
        <w:t>patria</w:t>
      </w:r>
      <w:proofErr w:type="spellEnd"/>
      <w:r>
        <w:t xml:space="preserve"> </w:t>
      </w:r>
      <w:proofErr w:type="spellStart"/>
      <w:r>
        <w:t>excussos</w:t>
      </w:r>
      <w:proofErr w:type="spellEnd"/>
      <w:r>
        <w:t xml:space="preserve"> </w:t>
      </w:r>
      <w:proofErr w:type="spellStart"/>
      <w:r>
        <w:t>infesta</w:t>
      </w:r>
      <w:proofErr w:type="spellEnd"/>
      <w:r>
        <w:t xml:space="preserve"> per </w:t>
      </w:r>
      <w:proofErr w:type="spellStart"/>
      <w:r>
        <w:t>undas</w:t>
      </w:r>
      <w:proofErr w:type="spellEnd"/>
      <w:r>
        <w:t xml:space="preserve"> </w:t>
      </w:r>
      <w:r>
        <w:br/>
      </w:r>
      <w:proofErr w:type="spellStart"/>
      <w:r>
        <w:t>ausa</w:t>
      </w:r>
      <w:proofErr w:type="spellEnd"/>
      <w:r>
        <w:t xml:space="preserve"> </w:t>
      </w:r>
      <w:proofErr w:type="spellStart"/>
      <w:r>
        <w:t>sequi</w:t>
      </w:r>
      <w:proofErr w:type="spellEnd"/>
      <w:r>
        <w:t xml:space="preserve"> et </w:t>
      </w:r>
      <w:proofErr w:type="spellStart"/>
      <w:r>
        <w:t>pr</w:t>
      </w:r>
      <w:r>
        <w:rPr>
          <w:rStyle w:val="StrongEmphasis"/>
        </w:rPr>
        <w:t>o</w:t>
      </w:r>
      <w:r>
        <w:t>fugis</w:t>
      </w:r>
      <w:proofErr w:type="spellEnd"/>
      <w:r>
        <w:t xml:space="preserve"> t</w:t>
      </w:r>
      <w:r>
        <w:rPr>
          <w:rStyle w:val="StrongEmphasis"/>
        </w:rPr>
        <w:t>o</w:t>
      </w:r>
      <w:r>
        <w:t>t</w:t>
      </w:r>
      <w:r>
        <w:rPr>
          <w:rStyle w:val="StrongEmphasis"/>
        </w:rPr>
        <w:t>o</w:t>
      </w:r>
      <w:r>
        <w:t xml:space="preserve"> </w:t>
      </w:r>
      <w:proofErr w:type="spellStart"/>
      <w:r>
        <w:t>me</w:t>
      </w:r>
      <w:proofErr w:type="spellEnd"/>
      <w:r>
        <w:t xml:space="preserve"> </w:t>
      </w:r>
      <w:proofErr w:type="spellStart"/>
      <w:r>
        <w:rPr>
          <w:rStyle w:val="StrongEmphasis"/>
        </w:rPr>
        <w:t>o</w:t>
      </w:r>
      <w:r>
        <w:t>pp</w:t>
      </w:r>
      <w:r>
        <w:rPr>
          <w:rStyle w:val="StrongEmphasis"/>
        </w:rPr>
        <w:t>o</w:t>
      </w:r>
      <w:r>
        <w:t>nere</w:t>
      </w:r>
      <w:proofErr w:type="spellEnd"/>
      <w:r>
        <w:t xml:space="preserve"> </w:t>
      </w:r>
      <w:proofErr w:type="spellStart"/>
      <w:r>
        <w:t>p</w:t>
      </w:r>
      <w:r>
        <w:rPr>
          <w:rStyle w:val="StrongEmphasis"/>
        </w:rPr>
        <w:t>o</w:t>
      </w:r>
      <w:r>
        <w:t>nt</w:t>
      </w:r>
      <w:r>
        <w:rPr>
          <w:rStyle w:val="StrongEmphasis"/>
        </w:rPr>
        <w:t>o</w:t>
      </w:r>
      <w:proofErr w:type="spellEnd"/>
      <w:r>
        <w:t>.</w:t>
      </w:r>
      <w:r>
        <w:br/>
      </w:r>
      <w:r>
        <w:t xml:space="preserve">(Vergil, Aeneis 7, 299 - 300; aus der </w:t>
      </w:r>
      <w:proofErr w:type="spellStart"/>
      <w:r>
        <w:t>Zornrede</w:t>
      </w:r>
      <w:proofErr w:type="spellEnd"/>
      <w:r>
        <w:t xml:space="preserve"> der </w:t>
      </w:r>
      <w:proofErr w:type="spellStart"/>
      <w:r>
        <w:t>Iuno</w:t>
      </w:r>
      <w:proofErr w:type="spellEnd"/>
      <w:r>
        <w:t>)</w:t>
      </w:r>
      <w:r>
        <w:br/>
      </w:r>
      <w:r>
        <w:t>Übersetzung: Nein, ich wagte sogar, die aus der Heimat Vertriebenen voller Feindschaft durch das Meer zu verfolgen und mich den Flüchtlingen auf dem ganzen Meer entgegenzustellen.</w:t>
      </w:r>
      <w:r>
        <w:t xml:space="preserve"> (Anmerkung: Assonanzen gehen bei der Übersetzung notwendig verloren).</w:t>
      </w:r>
    </w:p>
    <w:p w14:paraId="416E8053" w14:textId="77777777" w:rsidR="006E4315" w:rsidRDefault="00474DB9">
      <w:pPr>
        <w:pStyle w:val="Textbody"/>
        <w:numPr>
          <w:ilvl w:val="1"/>
          <w:numId w:val="6"/>
        </w:numPr>
        <w:spacing w:after="0"/>
      </w:pPr>
      <w:r>
        <w:t>Aus der deutschen Literatur:</w:t>
      </w:r>
      <w:r>
        <w:br/>
      </w:r>
      <w:r>
        <w:t>Horch! Die F</w:t>
      </w:r>
      <w:r>
        <w:rPr>
          <w:rStyle w:val="StrongEmphasis"/>
        </w:rPr>
        <w:t>a</w:t>
      </w:r>
      <w:r>
        <w:t>ckel l</w:t>
      </w:r>
      <w:r>
        <w:rPr>
          <w:rStyle w:val="StrongEmphasis"/>
        </w:rPr>
        <w:t>a</w:t>
      </w:r>
      <w:r>
        <w:t xml:space="preserve">cht, horch! </w:t>
      </w:r>
      <w:r>
        <w:rPr>
          <w:rStyle w:val="Hervorhebung"/>
        </w:rPr>
        <w:t>Sch</w:t>
      </w:r>
      <w:r>
        <w:t>merz-</w:t>
      </w:r>
      <w:r>
        <w:rPr>
          <w:rStyle w:val="Hervorhebung"/>
        </w:rPr>
        <w:t>Sch</w:t>
      </w:r>
      <w:r>
        <w:rPr>
          <w:rStyle w:val="StrongEmphasis"/>
        </w:rPr>
        <w:t>a</w:t>
      </w:r>
      <w:r>
        <w:t>lmeien</w:t>
      </w:r>
      <w:r>
        <w:br/>
      </w:r>
      <w:r>
        <w:t>der erw</w:t>
      </w:r>
      <w:r>
        <w:rPr>
          <w:rStyle w:val="StrongEmphasis"/>
        </w:rPr>
        <w:t>a</w:t>
      </w:r>
      <w:r>
        <w:t>chten N</w:t>
      </w:r>
      <w:r>
        <w:rPr>
          <w:rStyle w:val="StrongEmphasis"/>
        </w:rPr>
        <w:t>a</w:t>
      </w:r>
      <w:r>
        <w:t xml:space="preserve">cht ins Herz </w:t>
      </w:r>
      <w:r>
        <w:rPr>
          <w:rStyle w:val="StrongEmphasis"/>
        </w:rPr>
        <w:t>a</w:t>
      </w:r>
      <w:r>
        <w:t xml:space="preserve">ll </w:t>
      </w:r>
      <w:r>
        <w:rPr>
          <w:rStyle w:val="Hervorhebung"/>
        </w:rPr>
        <w:t>sch</w:t>
      </w:r>
      <w:r>
        <w:t>reien.</w:t>
      </w:r>
      <w:r>
        <w:br/>
      </w:r>
      <w:r>
        <w:t>(Clemens Brentano, „Wenn der lahme Weber träumt, er webe“; in</w:t>
      </w:r>
      <w:r>
        <w:t xml:space="preserve"> Fettdruck stehen Assonanzen, in Kursivschrift Alliterationen)</w:t>
      </w:r>
    </w:p>
    <w:p w14:paraId="473DB802" w14:textId="284F3620" w:rsidR="006E4315" w:rsidRDefault="00474DB9">
      <w:pPr>
        <w:pStyle w:val="Textbody"/>
        <w:numPr>
          <w:ilvl w:val="0"/>
          <w:numId w:val="6"/>
        </w:numPr>
      </w:pPr>
      <w:r>
        <w:rPr>
          <w:rStyle w:val="StrongEmphasis"/>
        </w:rPr>
        <w:t>Alternative</w:t>
      </w:r>
      <w:r>
        <w:t>: Eine mehr oder weniger zufällige Verteilung der Laute ist die Regel. Von einer Assonanz sollte man nur dort sprechen, wo ein großer Teil der Laute eines Verses oder Satzes den gle</w:t>
      </w:r>
      <w:r>
        <w:t xml:space="preserve">ichen Laut aufweist. In dem aus Vergil entnommenen Beispiel sind dies sieben von fünfzehn Silben, die den Vokal o enthalten, also rund die Hälfte (die zweite Silbe von </w:t>
      </w:r>
      <w:proofErr w:type="spellStart"/>
      <w:r>
        <w:t>sequi</w:t>
      </w:r>
      <w:proofErr w:type="spellEnd"/>
      <w:r>
        <w:t xml:space="preserve"> und das e von </w:t>
      </w:r>
      <w:proofErr w:type="spellStart"/>
      <w:r>
        <w:t>me</w:t>
      </w:r>
      <w:proofErr w:type="spellEnd"/>
      <w:r>
        <w:t xml:space="preserve"> entfallen durch Elision bzw. </w:t>
      </w:r>
      <w:proofErr w:type="spellStart"/>
      <w:r>
        <w:t>Synaloephe</w:t>
      </w:r>
      <w:proofErr w:type="spellEnd"/>
      <w:r>
        <w:t xml:space="preserve"> und zählen daher nicht mi</w:t>
      </w:r>
      <w:r>
        <w:t xml:space="preserve">t). Ein verwandtes Stilmittel ist die </w:t>
      </w:r>
      <w:r w:rsidR="00296467" w:rsidRPr="00296467">
        <w:rPr>
          <w:color w:val="2F5496" w:themeColor="accent1" w:themeShade="BF"/>
          <w:u w:val="single"/>
        </w:rPr>
        <w:fldChar w:fldCharType="begin"/>
      </w:r>
      <w:r w:rsidR="00296467" w:rsidRPr="00296467">
        <w:rPr>
          <w:color w:val="2F5496" w:themeColor="accent1" w:themeShade="BF"/>
          <w:u w:val="single"/>
        </w:rPr>
        <w:instrText xml:space="preserve"> REF _Ref99277324 \h </w:instrText>
      </w:r>
      <w:r w:rsidR="00296467" w:rsidRPr="00296467">
        <w:rPr>
          <w:color w:val="2F5496" w:themeColor="accent1" w:themeShade="BF"/>
          <w:u w:val="single"/>
        </w:rPr>
      </w:r>
      <w:r w:rsidR="00296467" w:rsidRPr="00296467">
        <w:rPr>
          <w:color w:val="2F5496" w:themeColor="accent1" w:themeShade="BF"/>
          <w:u w:val="single"/>
        </w:rPr>
        <w:fldChar w:fldCharType="separate"/>
      </w:r>
      <w:r w:rsidR="00296467" w:rsidRPr="00296467">
        <w:rPr>
          <w:color w:val="2F5496" w:themeColor="accent1" w:themeShade="BF"/>
          <w:u w:val="single"/>
        </w:rPr>
        <w:t>Alliter</w:t>
      </w:r>
      <w:r w:rsidR="00296467" w:rsidRPr="00296467">
        <w:rPr>
          <w:color w:val="2F5496" w:themeColor="accent1" w:themeShade="BF"/>
          <w:u w:val="single"/>
        </w:rPr>
        <w:t>a</w:t>
      </w:r>
      <w:r w:rsidR="00296467" w:rsidRPr="00296467">
        <w:rPr>
          <w:color w:val="2F5496" w:themeColor="accent1" w:themeShade="BF"/>
          <w:u w:val="single"/>
        </w:rPr>
        <w:t>tion</w:t>
      </w:r>
      <w:r w:rsidR="00296467" w:rsidRPr="00296467">
        <w:rPr>
          <w:color w:val="2F5496" w:themeColor="accent1" w:themeShade="BF"/>
          <w:u w:val="single"/>
        </w:rPr>
        <w:fldChar w:fldCharType="end"/>
      </w:r>
      <w:r>
        <w:t>.</w:t>
      </w:r>
    </w:p>
    <w:p w14:paraId="25C905FC" w14:textId="77777777" w:rsidR="006E4315" w:rsidRDefault="00474DB9">
      <w:pPr>
        <w:pStyle w:val="berschrift2"/>
      </w:pPr>
      <w:bookmarkStart w:id="6" w:name="asyndeton"/>
      <w:bookmarkEnd w:id="6"/>
      <w:r>
        <w:t>Asyndeton</w:t>
      </w:r>
    </w:p>
    <w:p w14:paraId="2BF7658C" w14:textId="77777777" w:rsidR="006E4315" w:rsidRDefault="00474DB9">
      <w:pPr>
        <w:pStyle w:val="Textbody"/>
        <w:numPr>
          <w:ilvl w:val="0"/>
          <w:numId w:val="7"/>
        </w:numPr>
        <w:spacing w:after="0"/>
      </w:pPr>
      <w:r>
        <w:rPr>
          <w:rStyle w:val="StrongEmphasis"/>
        </w:rPr>
        <w:t>Aussprache</w:t>
      </w:r>
      <w:r>
        <w:t>: Betonung auf dem y</w:t>
      </w:r>
    </w:p>
    <w:p w14:paraId="4CFF6CE6" w14:textId="77777777" w:rsidR="006E4315" w:rsidRDefault="00474DB9">
      <w:pPr>
        <w:pStyle w:val="Textbody"/>
        <w:numPr>
          <w:ilvl w:val="0"/>
          <w:numId w:val="7"/>
        </w:numPr>
        <w:spacing w:after="0"/>
      </w:pPr>
      <w:r>
        <w:rPr>
          <w:rStyle w:val="StrongEmphasis"/>
        </w:rPr>
        <w:t>Übersetzung</w:t>
      </w:r>
      <w:r>
        <w:t xml:space="preserve"> des Begriffs: Unverbundenes, unverbunden</w:t>
      </w:r>
    </w:p>
    <w:p w14:paraId="7E018081" w14:textId="77777777" w:rsidR="006E4315" w:rsidRDefault="00474DB9">
      <w:pPr>
        <w:pStyle w:val="Textbody"/>
        <w:numPr>
          <w:ilvl w:val="0"/>
          <w:numId w:val="7"/>
        </w:numPr>
        <w:spacing w:after="0"/>
      </w:pPr>
      <w:r>
        <w:rPr>
          <w:rStyle w:val="StrongEmphasis"/>
        </w:rPr>
        <w:t>Erklärung</w:t>
      </w:r>
      <w:r>
        <w:t xml:space="preserve">: Aufzählung ohne verbindende Konjunktion (z.B. „und“) zwischen </w:t>
      </w:r>
      <w:r>
        <w:t xml:space="preserve">den Aufzählungsgliedern. Das Asyndeton ist oft mit dem </w:t>
      </w:r>
      <w:hyperlink r:id="rId15" w:history="1">
        <w:r>
          <w:t>↓ Tri</w:t>
        </w:r>
      </w:hyperlink>
      <w:hyperlink r:id="rId16" w:history="1">
        <w:r>
          <w:t>k</w:t>
        </w:r>
      </w:hyperlink>
      <w:hyperlink r:id="rId17" w:history="1">
        <w:r>
          <w:t>olon ↓</w:t>
        </w:r>
      </w:hyperlink>
      <w:r>
        <w:t xml:space="preserve"> verbunden.</w:t>
      </w:r>
    </w:p>
    <w:p w14:paraId="1AABC39C" w14:textId="77777777" w:rsidR="006E4315" w:rsidRDefault="00474DB9">
      <w:pPr>
        <w:pStyle w:val="Textbody"/>
        <w:numPr>
          <w:ilvl w:val="0"/>
          <w:numId w:val="7"/>
        </w:numPr>
        <w:spacing w:after="0"/>
      </w:pPr>
      <w:r>
        <w:rPr>
          <w:rStyle w:val="StrongEmphasis"/>
        </w:rPr>
        <w:t>Beispiele:</w:t>
      </w:r>
    </w:p>
    <w:p w14:paraId="4A7BFD21" w14:textId="77777777" w:rsidR="006E4315" w:rsidRDefault="00474DB9">
      <w:pPr>
        <w:pStyle w:val="Textbody"/>
        <w:numPr>
          <w:ilvl w:val="1"/>
          <w:numId w:val="7"/>
        </w:numPr>
        <w:spacing w:after="0"/>
      </w:pPr>
      <w:r>
        <w:t xml:space="preserve">veni, vidi, vici </w:t>
      </w:r>
      <w:r>
        <w:br/>
      </w:r>
      <w:r>
        <w:t xml:space="preserve">C. </w:t>
      </w:r>
      <w:proofErr w:type="spellStart"/>
      <w:r>
        <w:t>Iulius</w:t>
      </w:r>
      <w:proofErr w:type="spellEnd"/>
      <w:r>
        <w:t xml:space="preserve"> Caesar; Beleg in diesem Artikel der Wikipedia: </w:t>
      </w:r>
      <w:hyperlink r:id="rId18" w:history="1">
        <w:r w:rsidRPr="00547EBF">
          <w:rPr>
            <w:color w:val="2F5496" w:themeColor="accent1" w:themeShade="BF"/>
            <w:u w:val="single"/>
          </w:rPr>
          <w:t>http://de.wikipedia.org/wiki/Veni_vidi_vici</w:t>
        </w:r>
      </w:hyperlink>
    </w:p>
    <w:p w14:paraId="11AAC371" w14:textId="77777777" w:rsidR="006E4315" w:rsidRDefault="00474DB9">
      <w:pPr>
        <w:pStyle w:val="Textbody"/>
        <w:numPr>
          <w:ilvl w:val="1"/>
          <w:numId w:val="7"/>
        </w:numPr>
        <w:spacing w:after="0"/>
      </w:pPr>
      <w:r>
        <w:t xml:space="preserve">aus der deutschen Literatur: </w:t>
      </w:r>
      <w:r>
        <w:br/>
      </w:r>
      <w:r>
        <w:t>Alles rennet, rettet, flüchtet (Friedrich Schiller, Lied von der Glocke)</w:t>
      </w:r>
    </w:p>
    <w:p w14:paraId="5F188178" w14:textId="77777777" w:rsidR="006E4315" w:rsidRDefault="00474DB9">
      <w:pPr>
        <w:pStyle w:val="Textbody"/>
        <w:numPr>
          <w:ilvl w:val="0"/>
          <w:numId w:val="7"/>
        </w:numPr>
      </w:pPr>
      <w:r>
        <w:t xml:space="preserve">Alternative: </w:t>
      </w:r>
      <w:hyperlink r:id="rId19" w:history="1">
        <w:r w:rsidRPr="00296467">
          <w:rPr>
            <w:color w:val="2F5496" w:themeColor="accent1" w:themeShade="BF"/>
            <w:u w:val="single"/>
          </w:rPr>
          <w:t>↓ Polysynd</w:t>
        </w:r>
        <w:r w:rsidRPr="00296467">
          <w:rPr>
            <w:color w:val="2F5496" w:themeColor="accent1" w:themeShade="BF"/>
            <w:u w:val="single"/>
          </w:rPr>
          <w:t>e</w:t>
        </w:r>
        <w:r w:rsidRPr="00296467">
          <w:rPr>
            <w:color w:val="2F5496" w:themeColor="accent1" w:themeShade="BF"/>
            <w:u w:val="single"/>
          </w:rPr>
          <w:t>t</w:t>
        </w:r>
        <w:r w:rsidRPr="00296467">
          <w:rPr>
            <w:color w:val="2F5496" w:themeColor="accent1" w:themeShade="BF"/>
            <w:u w:val="single"/>
          </w:rPr>
          <w:t>on ↓</w:t>
        </w:r>
      </w:hyperlink>
    </w:p>
    <w:p w14:paraId="4A2BB402" w14:textId="77777777" w:rsidR="006E4315" w:rsidRDefault="00474DB9">
      <w:pPr>
        <w:pStyle w:val="berschrift2"/>
      </w:pPr>
      <w:r>
        <w:t>Bild, sprachliches</w:t>
      </w:r>
    </w:p>
    <w:p w14:paraId="09A57B49" w14:textId="77777777" w:rsidR="006E4315" w:rsidRDefault="00474DB9">
      <w:pPr>
        <w:pStyle w:val="Textbody"/>
      </w:pPr>
      <w:r>
        <w:t xml:space="preserve">Oberbegriff zu </w:t>
      </w:r>
      <w:hyperlink r:id="rId20" w:history="1">
        <w:r w:rsidRPr="00547EBF">
          <w:rPr>
            <w:color w:val="2F5496" w:themeColor="accent1" w:themeShade="BF"/>
            <w:u w:val="single"/>
          </w:rPr>
          <w:t>↓ Metapher ↓</w:t>
        </w:r>
      </w:hyperlink>
      <w:r>
        <w:t xml:space="preserve">, </w:t>
      </w:r>
      <w:hyperlink r:id="rId21" w:history="1">
        <w:r w:rsidRPr="00547EBF">
          <w:rPr>
            <w:color w:val="2F5496" w:themeColor="accent1" w:themeShade="BF"/>
            <w:u w:val="single"/>
          </w:rPr>
          <w:t>↓ Metonymie ↓</w:t>
        </w:r>
      </w:hyperlink>
      <w:r>
        <w:t xml:space="preserve"> und </w:t>
      </w:r>
      <w:hyperlink r:id="rId22" w:history="1">
        <w:r w:rsidRPr="00547EBF">
          <w:rPr>
            <w:color w:val="2F5496" w:themeColor="accent1" w:themeShade="BF"/>
            <w:u w:val="single"/>
          </w:rPr>
          <w:t>↓ Vergleich ↓</w:t>
        </w:r>
      </w:hyperlink>
      <w:r>
        <w:t>.</w:t>
      </w:r>
    </w:p>
    <w:p w14:paraId="2C7748BB" w14:textId="77777777" w:rsidR="006E4315" w:rsidRDefault="00474DB9">
      <w:pPr>
        <w:pStyle w:val="berschrift2"/>
      </w:pPr>
      <w:bookmarkStart w:id="7" w:name="chiasmus"/>
      <w:bookmarkEnd w:id="7"/>
      <w:r>
        <w:t>Chiasmus</w:t>
      </w:r>
    </w:p>
    <w:p w14:paraId="772E0406" w14:textId="77777777" w:rsidR="006E4315" w:rsidRDefault="00474DB9">
      <w:pPr>
        <w:pStyle w:val="Textbody"/>
        <w:numPr>
          <w:ilvl w:val="0"/>
          <w:numId w:val="8"/>
        </w:numPr>
        <w:spacing w:after="0"/>
      </w:pPr>
      <w:r>
        <w:rPr>
          <w:rStyle w:val="StrongEmphasis"/>
        </w:rPr>
        <w:t>Aussprache</w:t>
      </w:r>
      <w:r>
        <w:t>: Betonung auf dem a.</w:t>
      </w:r>
    </w:p>
    <w:p w14:paraId="3B5D4F12" w14:textId="77777777" w:rsidR="006E4315" w:rsidRDefault="00474DB9">
      <w:pPr>
        <w:pStyle w:val="Textbody"/>
        <w:numPr>
          <w:ilvl w:val="0"/>
          <w:numId w:val="8"/>
        </w:numPr>
        <w:spacing w:after="0"/>
      </w:pPr>
      <w:r>
        <w:rPr>
          <w:rStyle w:val="StrongEmphasis"/>
        </w:rPr>
        <w:t>Übersetzung</w:t>
      </w:r>
      <w:r>
        <w:t xml:space="preserve"> des Begriffs: Chi-Stellung</w:t>
      </w:r>
    </w:p>
    <w:p w14:paraId="05AF26CE" w14:textId="77777777" w:rsidR="006E4315" w:rsidRDefault="00474DB9">
      <w:pPr>
        <w:pStyle w:val="Textbody"/>
        <w:numPr>
          <w:ilvl w:val="0"/>
          <w:numId w:val="8"/>
        </w:numPr>
        <w:spacing w:after="0"/>
      </w:pPr>
      <w:r>
        <w:rPr>
          <w:rStyle w:val="StrongEmphasis"/>
        </w:rPr>
        <w:t>Erklärung</w:t>
      </w:r>
      <w:r>
        <w:t>: Anordnung von Wörtern in Form eines X. Dieser Buchstabe heißt im Griechischen '</w:t>
      </w:r>
      <w:proofErr w:type="spellStart"/>
      <w:r>
        <w:t>chi</w:t>
      </w:r>
      <w:proofErr w:type="spellEnd"/>
      <w:r>
        <w:t>'.</w:t>
      </w:r>
    </w:p>
    <w:p w14:paraId="2B706855" w14:textId="77777777" w:rsidR="006E4315" w:rsidRDefault="00474DB9">
      <w:pPr>
        <w:pStyle w:val="Textbody"/>
        <w:numPr>
          <w:ilvl w:val="0"/>
          <w:numId w:val="8"/>
        </w:numPr>
      </w:pPr>
      <w:r>
        <w:rPr>
          <w:rStyle w:val="StrongEmphasis"/>
        </w:rPr>
        <w:lastRenderedPageBreak/>
        <w:t>Beispiel</w:t>
      </w:r>
      <w:r>
        <w:t>:</w:t>
      </w:r>
      <w:r>
        <w:br/>
      </w:r>
      <w:proofErr w:type="spellStart"/>
      <w:r>
        <w:t>tibi</w:t>
      </w:r>
      <w:proofErr w:type="spellEnd"/>
      <w:r>
        <w:t xml:space="preserve"> </w:t>
      </w:r>
      <w:proofErr w:type="spellStart"/>
      <w:r>
        <w:t>nomina</w:t>
      </w:r>
      <w:proofErr w:type="spellEnd"/>
      <w:r>
        <w:t xml:space="preserve"> </w:t>
      </w:r>
      <w:proofErr w:type="spellStart"/>
      <w:r>
        <w:t>mille</w:t>
      </w:r>
      <w:proofErr w:type="spellEnd"/>
      <w:r>
        <w:t>,</w:t>
      </w:r>
      <w:r>
        <w:br/>
      </w:r>
      <w:proofErr w:type="spellStart"/>
      <w:r>
        <w:t>mille</w:t>
      </w:r>
      <w:proofErr w:type="spellEnd"/>
      <w:r>
        <w:t xml:space="preserve"> </w:t>
      </w:r>
      <w:proofErr w:type="spellStart"/>
      <w:r>
        <w:t>nocendi</w:t>
      </w:r>
      <w:proofErr w:type="spellEnd"/>
      <w:r>
        <w:t xml:space="preserve"> </w:t>
      </w:r>
      <w:proofErr w:type="spellStart"/>
      <w:r>
        <w:t>artes</w:t>
      </w:r>
      <w:proofErr w:type="spellEnd"/>
    </w:p>
    <w:p w14:paraId="125F40E6" w14:textId="77777777" w:rsidR="006E4315" w:rsidRDefault="00474DB9">
      <w:pPr>
        <w:pStyle w:val="Textbody"/>
      </w:pPr>
      <w:r>
        <w:rPr>
          <w:noProof/>
        </w:rPr>
        <w:drawing>
          <wp:anchor distT="0" distB="0" distL="114300" distR="114300" simplePos="0" relativeHeight="30" behindDoc="0" locked="0" layoutInCell="1" allowOverlap="1" wp14:anchorId="53D95E11" wp14:editId="54FA833F">
            <wp:simplePos x="0" y="0"/>
            <wp:positionH relativeFrom="column">
              <wp:align>center</wp:align>
            </wp:positionH>
            <wp:positionV relativeFrom="paragraph">
              <wp:align>top</wp:align>
            </wp:positionV>
            <wp:extent cx="1722240" cy="1166040"/>
            <wp:effectExtent l="0" t="0" r="0" b="0"/>
            <wp:wrapSquare wrapText="bothSides"/>
            <wp:docPr id="4" name="Bild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lum/>
                      <a:alphaModFix/>
                    </a:blip>
                    <a:srcRect/>
                    <a:stretch>
                      <a:fillRect/>
                    </a:stretch>
                  </pic:blipFill>
                  <pic:spPr>
                    <a:xfrm>
                      <a:off x="0" y="0"/>
                      <a:ext cx="1722240" cy="1166040"/>
                    </a:xfrm>
                    <a:prstGeom prst="rect">
                      <a:avLst/>
                    </a:prstGeom>
                  </pic:spPr>
                </pic:pic>
              </a:graphicData>
            </a:graphic>
          </wp:anchor>
        </w:drawing>
      </w:r>
    </w:p>
    <w:p w14:paraId="6B497DFC" w14:textId="77777777" w:rsidR="006E4315" w:rsidRDefault="00474DB9">
      <w:pPr>
        <w:pStyle w:val="Textbody"/>
      </w:pPr>
      <w:r>
        <w:br/>
      </w:r>
    </w:p>
    <w:p w14:paraId="7D7322DB" w14:textId="77777777" w:rsidR="006E4315" w:rsidRDefault="006E4315">
      <w:pPr>
        <w:pStyle w:val="Textbody"/>
      </w:pPr>
    </w:p>
    <w:p w14:paraId="450D2491" w14:textId="58B6830E" w:rsidR="006E4315" w:rsidRDefault="006E4315">
      <w:pPr>
        <w:pStyle w:val="Textbody"/>
      </w:pPr>
    </w:p>
    <w:p w14:paraId="6CCE88E0" w14:textId="77777777" w:rsidR="00547EBF" w:rsidRDefault="00547EBF">
      <w:pPr>
        <w:pStyle w:val="Textbody"/>
      </w:pPr>
    </w:p>
    <w:p w14:paraId="2440B601" w14:textId="77777777" w:rsidR="006E4315" w:rsidRDefault="00474DB9">
      <w:pPr>
        <w:pStyle w:val="Textbody"/>
      </w:pPr>
      <w:r>
        <w:t xml:space="preserve">(Vergil, Aeneis 7, 337 f.; aus der Aufforderung der </w:t>
      </w:r>
      <w:proofErr w:type="spellStart"/>
      <w:r>
        <w:t>Iuno</w:t>
      </w:r>
      <w:proofErr w:type="spellEnd"/>
      <w:r>
        <w:t xml:space="preserve"> an die Furie </w:t>
      </w:r>
      <w:proofErr w:type="spellStart"/>
      <w:r>
        <w:t>Alle</w:t>
      </w:r>
      <w:r>
        <w:t>cto</w:t>
      </w:r>
      <w:proofErr w:type="spellEnd"/>
      <w:r>
        <w:t xml:space="preserve">, Zwietracht zwischen den Trojanern und den Latinern zu säen) </w:t>
      </w:r>
      <w:r>
        <w:br/>
      </w:r>
      <w:r>
        <w:t>Übersetzung: Du hast der Namen tausend, / tausend Künste, zu schaden.</w:t>
      </w:r>
    </w:p>
    <w:p w14:paraId="61930A58" w14:textId="7D9538EF" w:rsidR="006E4315" w:rsidRDefault="00474DB9">
      <w:pPr>
        <w:pStyle w:val="Textbody"/>
        <w:numPr>
          <w:ilvl w:val="0"/>
          <w:numId w:val="9"/>
        </w:numPr>
      </w:pPr>
      <w:r>
        <w:rPr>
          <w:rStyle w:val="StrongEmphasis"/>
        </w:rPr>
        <w:t>Alternative</w:t>
      </w:r>
      <w:r>
        <w:t xml:space="preserve">: </w:t>
      </w:r>
      <w:r w:rsidR="00547EBF" w:rsidRPr="00547EBF">
        <w:rPr>
          <w:color w:val="2F5496" w:themeColor="accent1" w:themeShade="BF"/>
          <w:u w:val="single"/>
        </w:rPr>
        <w:fldChar w:fldCharType="begin"/>
      </w:r>
      <w:r w:rsidR="00547EBF" w:rsidRPr="00547EBF">
        <w:rPr>
          <w:color w:val="2F5496" w:themeColor="accent1" w:themeShade="BF"/>
          <w:u w:val="single"/>
        </w:rPr>
        <w:instrText xml:space="preserve"> REF _Ref99277767 \h </w:instrText>
      </w:r>
      <w:r w:rsidR="00547EBF" w:rsidRPr="00547EBF">
        <w:rPr>
          <w:color w:val="2F5496" w:themeColor="accent1" w:themeShade="BF"/>
          <w:u w:val="single"/>
        </w:rPr>
      </w:r>
      <w:r w:rsidR="00547EBF" w:rsidRPr="00547EBF">
        <w:rPr>
          <w:color w:val="2F5496" w:themeColor="accent1" w:themeShade="BF"/>
          <w:u w:val="single"/>
        </w:rPr>
        <w:fldChar w:fldCharType="separate"/>
      </w:r>
      <w:r w:rsidR="00547EBF">
        <w:rPr>
          <w:rFonts w:cs="Liberation Serif"/>
          <w:color w:val="2F5496" w:themeColor="accent1" w:themeShade="BF"/>
          <w:u w:val="single"/>
        </w:rPr>
        <w:t>↓</w:t>
      </w:r>
      <w:r w:rsidR="00547EBF">
        <w:rPr>
          <w:color w:val="2F5496" w:themeColor="accent1" w:themeShade="BF"/>
          <w:u w:val="single"/>
        </w:rPr>
        <w:t xml:space="preserve"> P</w:t>
      </w:r>
      <w:r w:rsidR="00547EBF" w:rsidRPr="00547EBF">
        <w:rPr>
          <w:color w:val="2F5496" w:themeColor="accent1" w:themeShade="BF"/>
          <w:u w:val="single"/>
        </w:rPr>
        <w:t>arallelismu</w:t>
      </w:r>
      <w:r w:rsidR="00547EBF">
        <w:rPr>
          <w:color w:val="2F5496" w:themeColor="accent1" w:themeShade="BF"/>
          <w:u w:val="single"/>
        </w:rPr>
        <w:t xml:space="preserve">s </w:t>
      </w:r>
      <w:r w:rsidR="00547EBF">
        <w:rPr>
          <w:rFonts w:cs="Liberation Serif"/>
          <w:color w:val="2F5496" w:themeColor="accent1" w:themeShade="BF"/>
          <w:u w:val="single"/>
        </w:rPr>
        <w:t>↓</w:t>
      </w:r>
      <w:r w:rsidR="00547EBF" w:rsidRPr="00547EBF">
        <w:rPr>
          <w:color w:val="2F5496" w:themeColor="accent1" w:themeShade="BF"/>
          <w:u w:val="single"/>
        </w:rPr>
        <w:fldChar w:fldCharType="end"/>
      </w:r>
    </w:p>
    <w:p w14:paraId="6100C4D5" w14:textId="77777777" w:rsidR="006E4315" w:rsidRDefault="00474DB9">
      <w:pPr>
        <w:pStyle w:val="berschrift2"/>
      </w:pPr>
      <w:r>
        <w:t>Gleichnis</w:t>
      </w:r>
    </w:p>
    <w:p w14:paraId="758C0AAC" w14:textId="77777777" w:rsidR="006E4315" w:rsidRDefault="00474DB9">
      <w:pPr>
        <w:pStyle w:val="Textbody"/>
      </w:pPr>
      <w:r>
        <w:t xml:space="preserve">Ein Gleichnis ist ein breit ausgeführter Vergleich. Weitere Erläuterungen siehe unter dem Stichwort </w:t>
      </w:r>
      <w:hyperlink r:id="rId24" w:history="1">
        <w:r w:rsidRPr="00547EBF">
          <w:rPr>
            <w:color w:val="2F5496" w:themeColor="accent1" w:themeShade="BF"/>
            <w:u w:val="single"/>
          </w:rPr>
          <w:t>↓ Vergleich ↓</w:t>
        </w:r>
      </w:hyperlink>
      <w:r>
        <w:t xml:space="preserve">. Der Begriff </w:t>
      </w:r>
      <w:r>
        <w:rPr>
          <w:rStyle w:val="Hervorhebung"/>
        </w:rPr>
        <w:t>Gleichnis</w:t>
      </w:r>
      <w:r>
        <w:t xml:space="preserve"> ist wie derjenige der </w:t>
      </w:r>
      <w:hyperlink r:id="rId25" w:history="1">
        <w:r w:rsidRPr="00547EBF">
          <w:rPr>
            <w:color w:val="2F5496" w:themeColor="accent1" w:themeShade="BF"/>
            <w:u w:val="single"/>
          </w:rPr>
          <w:t>↓ Metapher ↓</w:t>
        </w:r>
      </w:hyperlink>
      <w:r>
        <w:t xml:space="preserve"> sowohl ein Begriff der Sprachwissenschaft und Rhetorik als auch ein Begriff der Literaturwissenschaft.</w:t>
      </w:r>
    </w:p>
    <w:p w14:paraId="18826CE3" w14:textId="77777777" w:rsidR="006E4315" w:rsidRDefault="00474DB9">
      <w:pPr>
        <w:pStyle w:val="berschrift2"/>
      </w:pPr>
      <w:bookmarkStart w:id="8" w:name="ironie"/>
      <w:bookmarkEnd w:id="8"/>
      <w:r>
        <w:t>Ironie</w:t>
      </w:r>
    </w:p>
    <w:p w14:paraId="5E97F271" w14:textId="77777777" w:rsidR="006E4315" w:rsidRDefault="00474DB9">
      <w:pPr>
        <w:pStyle w:val="Textbody"/>
        <w:numPr>
          <w:ilvl w:val="0"/>
          <w:numId w:val="10"/>
        </w:numPr>
        <w:spacing w:after="0"/>
      </w:pPr>
      <w:r>
        <w:rPr>
          <w:rStyle w:val="StrongEmphasis"/>
        </w:rPr>
        <w:t>Übersetzung</w:t>
      </w:r>
      <w:r>
        <w:t xml:space="preserve"> des Begriffs: </w:t>
      </w:r>
      <w:proofErr w:type="spellStart"/>
      <w:r>
        <w:t>ε</w:t>
      </w:r>
      <w:r>
        <w:t>ἰ</w:t>
      </w:r>
      <w:r>
        <w:t>ρωνεί</w:t>
      </w:r>
      <w:proofErr w:type="spellEnd"/>
      <w:r>
        <w:t>α</w:t>
      </w:r>
      <w:r>
        <w:t xml:space="preserve"> (</w:t>
      </w:r>
      <w:proofErr w:type="spellStart"/>
      <w:r>
        <w:t>eironeia</w:t>
      </w:r>
      <w:proofErr w:type="spellEnd"/>
      <w:r>
        <w:t>, gr.): Verstellung, Täuschung</w:t>
      </w:r>
    </w:p>
    <w:p w14:paraId="063CB8D0" w14:textId="77777777" w:rsidR="006E4315" w:rsidRDefault="00474DB9">
      <w:pPr>
        <w:pStyle w:val="Textbody"/>
        <w:numPr>
          <w:ilvl w:val="0"/>
          <w:numId w:val="10"/>
        </w:numPr>
        <w:spacing w:after="0"/>
      </w:pPr>
      <w:r>
        <w:rPr>
          <w:rStyle w:val="StrongEmphasis"/>
        </w:rPr>
        <w:t>Erklärung</w:t>
      </w:r>
      <w:r>
        <w:t>: Die Sprecherin oder der Sprecher sagt in</w:t>
      </w:r>
      <w:r>
        <w:t xml:space="preserve"> der Ironie das Gegenteil von dem, was sie oder er meint, aber nicht im Sinne einer Lüge, sondern so, dass die Hörerinnen oder Hörer dies bemerken. Die Absicht ist oft eine Abwertung oder Kritik, möglicherweise aber auch eine humoristischen Abschwächung de</w:t>
      </w:r>
      <w:r>
        <w:t xml:space="preserve">r eigentlichen Aussage. In der Zusammenfassung des Glossars der </w:t>
      </w:r>
      <w:r>
        <w:rPr>
          <w:rStyle w:val="Hervorhebung"/>
        </w:rPr>
        <w:t>Literaturtheorien</w:t>
      </w:r>
      <w:r>
        <w:t>: „Die Ironie ist eine Verstellung, die als solche durchschaut werden möchte.“</w:t>
      </w:r>
      <w:r>
        <w:rPr>
          <w:rStyle w:val="Funotenzeichen"/>
        </w:rPr>
        <w:footnoteReference w:id="1"/>
      </w:r>
    </w:p>
    <w:p w14:paraId="628ABC48" w14:textId="77777777" w:rsidR="006E4315" w:rsidRDefault="00474DB9">
      <w:pPr>
        <w:pStyle w:val="Textbody"/>
        <w:numPr>
          <w:ilvl w:val="0"/>
          <w:numId w:val="10"/>
        </w:numPr>
      </w:pPr>
      <w:r>
        <w:t xml:space="preserve">Zum philosophischen Begriff der Ironie siehe </w:t>
      </w:r>
      <w:r>
        <w:rPr>
          <w:i/>
          <w:iCs/>
        </w:rPr>
        <w:t>Metzler Lexikon der Philosophie</w:t>
      </w:r>
      <w:r>
        <w:t xml:space="preserve"> bei </w:t>
      </w:r>
      <w:hyperlink r:id="rId26" w:history="1">
        <w:r w:rsidRPr="00547EBF">
          <w:rPr>
            <w:color w:val="2F5496" w:themeColor="accent1" w:themeShade="BF"/>
            <w:u w:val="single"/>
          </w:rPr>
          <w:t>Spektrum.de</w:t>
        </w:r>
      </w:hyperlink>
      <w:r>
        <w:t>.</w:t>
      </w:r>
    </w:p>
    <w:p w14:paraId="7F660340" w14:textId="77777777" w:rsidR="006E4315" w:rsidRDefault="00474DB9">
      <w:pPr>
        <w:pStyle w:val="berschrift2"/>
      </w:pPr>
      <w:bookmarkStart w:id="9" w:name="metapher"/>
      <w:bookmarkEnd w:id="9"/>
      <w:r>
        <w:t>Meta</w:t>
      </w:r>
      <w:r>
        <w:t>pher</w:t>
      </w:r>
    </w:p>
    <w:p w14:paraId="07979A13" w14:textId="77777777" w:rsidR="006E4315" w:rsidRDefault="00474DB9">
      <w:pPr>
        <w:pStyle w:val="Textbody"/>
        <w:numPr>
          <w:ilvl w:val="0"/>
          <w:numId w:val="11"/>
        </w:numPr>
        <w:spacing w:after="0"/>
      </w:pPr>
      <w:r>
        <w:rPr>
          <w:rStyle w:val="StrongEmphasis"/>
        </w:rPr>
        <w:t>Übersetzung</w:t>
      </w:r>
      <w:r>
        <w:t xml:space="preserve"> des Begriffs: Übertragung (von gr. </w:t>
      </w:r>
      <w:proofErr w:type="spellStart"/>
      <w:r>
        <w:t>μετ</w:t>
      </w:r>
      <w:proofErr w:type="spellEnd"/>
      <w:r>
        <w:t>αφορά</w:t>
      </w:r>
      <w:r>
        <w:t>)</w:t>
      </w:r>
    </w:p>
    <w:p w14:paraId="5DFE8D10" w14:textId="77777777" w:rsidR="006E4315" w:rsidRDefault="00474DB9">
      <w:pPr>
        <w:pStyle w:val="Textbody"/>
        <w:numPr>
          <w:ilvl w:val="0"/>
          <w:numId w:val="11"/>
        </w:numPr>
        <w:spacing w:after="0"/>
      </w:pPr>
      <w:r>
        <w:rPr>
          <w:rStyle w:val="StrongEmphasis"/>
        </w:rPr>
        <w:t>Erklärung</w:t>
      </w:r>
      <w:r>
        <w:t xml:space="preserve">: Bei der Metapher wird die Bedeutung eines Bildes vom Bildfeld auf die gemeinte Sache, d.h. auf das </w:t>
      </w:r>
      <w:proofErr w:type="spellStart"/>
      <w:r>
        <w:t>Sachfeld</w:t>
      </w:r>
      <w:proofErr w:type="spellEnd"/>
      <w:r>
        <w:t xml:space="preserve"> übertragen. Dabei ist die Verbindung von Sach- und Bildfeld die </w:t>
      </w:r>
      <w:r>
        <w:rPr>
          <w:rStyle w:val="StrongEmphasis"/>
        </w:rPr>
        <w:t xml:space="preserve">Ähnlichkeit </w:t>
      </w:r>
      <w:r>
        <w:t>oder bestimmte ähnliche Eigenschaften beider Seiten.</w:t>
      </w:r>
    </w:p>
    <w:p w14:paraId="09768791" w14:textId="77777777" w:rsidR="006E4315" w:rsidRDefault="00474DB9">
      <w:pPr>
        <w:pStyle w:val="Textbody"/>
        <w:numPr>
          <w:ilvl w:val="0"/>
          <w:numId w:val="11"/>
        </w:numPr>
        <w:spacing w:after="0"/>
      </w:pPr>
      <w:r>
        <w:rPr>
          <w:noProof/>
        </w:rPr>
        <w:lastRenderedPageBreak/>
        <w:drawing>
          <wp:anchor distT="0" distB="0" distL="114300" distR="114300" simplePos="0" relativeHeight="31" behindDoc="0" locked="0" layoutInCell="1" allowOverlap="1" wp14:anchorId="2989F642" wp14:editId="2CB90ACF">
            <wp:simplePos x="0" y="0"/>
            <wp:positionH relativeFrom="column">
              <wp:posOffset>2717640</wp:posOffset>
            </wp:positionH>
            <wp:positionV relativeFrom="paragraph">
              <wp:posOffset>0</wp:posOffset>
            </wp:positionV>
            <wp:extent cx="3600360" cy="1800360"/>
            <wp:effectExtent l="0" t="0" r="90" b="9390"/>
            <wp:wrapSquare wrapText="bothSides"/>
            <wp:docPr id="5" name="Bild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lum/>
                      <a:alphaModFix/>
                    </a:blip>
                    <a:srcRect/>
                    <a:stretch>
                      <a:fillRect/>
                    </a:stretch>
                  </pic:blipFill>
                  <pic:spPr>
                    <a:xfrm>
                      <a:off x="0" y="0"/>
                      <a:ext cx="3600360" cy="1800360"/>
                    </a:xfrm>
                    <a:prstGeom prst="rect">
                      <a:avLst/>
                    </a:prstGeom>
                    <a:ln>
                      <a:noFill/>
                      <a:prstDash/>
                    </a:ln>
                  </pic:spPr>
                </pic:pic>
              </a:graphicData>
            </a:graphic>
          </wp:anchor>
        </w:drawing>
      </w:r>
      <w:r>
        <w:rPr>
          <w:rStyle w:val="StrongEmphasis"/>
        </w:rPr>
        <w:t>Beispiel</w:t>
      </w:r>
      <w:r>
        <w:t>:</w:t>
      </w:r>
    </w:p>
    <w:p w14:paraId="233B769B" w14:textId="77777777" w:rsidR="006E4315" w:rsidRDefault="00474DB9">
      <w:pPr>
        <w:pStyle w:val="Textbody"/>
        <w:spacing w:after="0"/>
        <w:ind w:left="709"/>
      </w:pPr>
      <w:r>
        <w:t xml:space="preserve">Fortuna </w:t>
      </w:r>
      <w:proofErr w:type="spellStart"/>
      <w:r>
        <w:t>vitrea</w:t>
      </w:r>
      <w:proofErr w:type="spellEnd"/>
      <w:r>
        <w:t xml:space="preserve"> </w:t>
      </w:r>
      <w:proofErr w:type="spellStart"/>
      <w:r>
        <w:t>est</w:t>
      </w:r>
      <w:proofErr w:type="spellEnd"/>
      <w:r>
        <w:t xml:space="preserve">: </w:t>
      </w:r>
      <w:proofErr w:type="spellStart"/>
      <w:r>
        <w:t>tum</w:t>
      </w:r>
      <w:proofErr w:type="spellEnd"/>
      <w:r>
        <w:t xml:space="preserve">, cum </w:t>
      </w:r>
      <w:proofErr w:type="spellStart"/>
      <w:r>
        <w:t>splendet</w:t>
      </w:r>
      <w:proofErr w:type="spellEnd"/>
      <w:r>
        <w:t xml:space="preserve">, </w:t>
      </w:r>
      <w:proofErr w:type="spellStart"/>
      <w:r>
        <w:t>frangitur</w:t>
      </w:r>
      <w:proofErr w:type="spellEnd"/>
      <w:r>
        <w:t>. (</w:t>
      </w:r>
      <w:proofErr w:type="spellStart"/>
      <w:r>
        <w:t>Publilius</w:t>
      </w:r>
      <w:proofErr w:type="spellEnd"/>
      <w:r>
        <w:t xml:space="preserve"> </w:t>
      </w:r>
      <w:proofErr w:type="spellStart"/>
      <w:r>
        <w:t>Syrus</w:t>
      </w:r>
      <w:proofErr w:type="spellEnd"/>
      <w:r>
        <w:t>)</w:t>
      </w:r>
      <w:r>
        <w:br/>
      </w:r>
      <w:r>
        <w:t>Übersetzung: Das Glück ist aus Glas: Dann, wenn es glänzt, bricht es.</w:t>
      </w:r>
      <w:r>
        <w:br/>
      </w:r>
      <w:r>
        <w:rPr>
          <w:i/>
          <w:iCs/>
        </w:rPr>
        <w:t>Erläuterung zum Beispiel</w:t>
      </w:r>
      <w:r>
        <w:t xml:space="preserve">: Der erste </w:t>
      </w:r>
      <w:r>
        <w:t>der beiden Sätze (</w:t>
      </w:r>
      <w:proofErr w:type="spellStart"/>
      <w:r>
        <w:t>fortuna</w:t>
      </w:r>
      <w:proofErr w:type="spellEnd"/>
      <w:r>
        <w:t xml:space="preserve"> </w:t>
      </w:r>
      <w:proofErr w:type="spellStart"/>
      <w:r>
        <w:t>vitrea</w:t>
      </w:r>
      <w:proofErr w:type="spellEnd"/>
      <w:r>
        <w:t xml:space="preserve"> </w:t>
      </w:r>
      <w:proofErr w:type="spellStart"/>
      <w:r>
        <w:t>est</w:t>
      </w:r>
      <w:proofErr w:type="spellEnd"/>
      <w:r>
        <w:t>) setzt das Glück, etwas Abstraktes (d. h. etwas Allgemeines, das man nicht sehen kann), mit einem sichtbaren Gegenstand (Glas) gleich. Eine Eigenschaft des Glases (die Zerbrechlichkeit) wird durch die Metapher auf das G</w:t>
      </w:r>
      <w:r>
        <w:t>lück übertragen.</w:t>
      </w:r>
    </w:p>
    <w:p w14:paraId="3B41E33D" w14:textId="77777777" w:rsidR="006E4315" w:rsidRDefault="00474DB9">
      <w:pPr>
        <w:pStyle w:val="Textbody"/>
        <w:numPr>
          <w:ilvl w:val="0"/>
          <w:numId w:val="11"/>
        </w:numPr>
      </w:pPr>
      <w:r>
        <w:rPr>
          <w:rStyle w:val="StrongEmphasis"/>
        </w:rPr>
        <w:t>Alternativen</w:t>
      </w:r>
      <w:r>
        <w:t>: Nicht immer gibt es eine wörtliche, nicht-metaphorische Ausdrucksweise. Manche Metaphern sind zu festen Verbindungen geworden.</w:t>
      </w:r>
      <w:r>
        <w:br/>
      </w:r>
      <w:proofErr w:type="gramStart"/>
      <w:r>
        <w:t>Verwandt</w:t>
      </w:r>
      <w:proofErr w:type="gramEnd"/>
      <w:r>
        <w:t xml:space="preserve"> sind die Metonymie (folgender Eintrag) und der </w:t>
      </w:r>
      <w:hyperlink r:id="rId28" w:history="1">
        <w:r w:rsidRPr="00547EBF">
          <w:rPr>
            <w:color w:val="2F5496" w:themeColor="accent1" w:themeShade="BF"/>
            <w:u w:val="single"/>
          </w:rPr>
          <w:t>↓ Vergleich ↓</w:t>
        </w:r>
      </w:hyperlink>
      <w:r>
        <w:t>.</w:t>
      </w:r>
    </w:p>
    <w:p w14:paraId="69B76736" w14:textId="77777777" w:rsidR="006E4315" w:rsidRDefault="00474DB9">
      <w:pPr>
        <w:pStyle w:val="berschrift2"/>
      </w:pPr>
      <w:bookmarkStart w:id="10" w:name="metonymie"/>
      <w:bookmarkEnd w:id="10"/>
      <w:r>
        <w:t>Metonymie</w:t>
      </w:r>
    </w:p>
    <w:p w14:paraId="3BFF6A78" w14:textId="77777777" w:rsidR="006E4315" w:rsidRDefault="00474DB9">
      <w:pPr>
        <w:pStyle w:val="Textbody"/>
        <w:numPr>
          <w:ilvl w:val="0"/>
          <w:numId w:val="12"/>
        </w:numPr>
        <w:spacing w:after="0"/>
      </w:pPr>
      <w:r>
        <w:rPr>
          <w:rStyle w:val="StrongEmphasis"/>
        </w:rPr>
        <w:t xml:space="preserve">Aussprache: </w:t>
      </w:r>
      <w:r>
        <w:t>Betonung auf der letzten Silbe</w:t>
      </w:r>
    </w:p>
    <w:p w14:paraId="50A44DFE" w14:textId="77777777" w:rsidR="006E4315" w:rsidRDefault="00474DB9">
      <w:pPr>
        <w:pStyle w:val="Textbody"/>
        <w:numPr>
          <w:ilvl w:val="0"/>
          <w:numId w:val="12"/>
        </w:numPr>
        <w:spacing w:after="0"/>
      </w:pPr>
      <w:r>
        <w:rPr>
          <w:rStyle w:val="StrongEmphasis"/>
        </w:rPr>
        <w:t>Übersetzung</w:t>
      </w:r>
      <w:r>
        <w:t xml:space="preserve"> des Begriffs: Namensvertauschung, Umbenennung (von einem Verb, das </w:t>
      </w:r>
      <w:r>
        <w:rPr>
          <w:rStyle w:val="Hervorhebung"/>
        </w:rPr>
        <w:t>den Namen ändern</w:t>
      </w:r>
      <w:r>
        <w:t xml:space="preserve"> bedeutet)</w:t>
      </w:r>
    </w:p>
    <w:p w14:paraId="4A50DF4A" w14:textId="77777777" w:rsidR="006E4315" w:rsidRDefault="00474DB9">
      <w:pPr>
        <w:pStyle w:val="Textbody"/>
        <w:numPr>
          <w:ilvl w:val="0"/>
          <w:numId w:val="12"/>
        </w:numPr>
        <w:spacing w:after="0"/>
      </w:pPr>
      <w:r>
        <w:rPr>
          <w:rStyle w:val="StrongEmphasis"/>
        </w:rPr>
        <w:t>Erklärung</w:t>
      </w:r>
      <w:r>
        <w:t>: Ersetzung eines Wortes durch ein anderes, das mit dem ersetzten in einer Beziehun</w:t>
      </w:r>
      <w:r>
        <w:t>g der Nähe oder der Verwandtschaft steht, z.B. der räumlichen Nähe</w:t>
      </w:r>
    </w:p>
    <w:p w14:paraId="1B9307CE" w14:textId="77777777" w:rsidR="006E4315" w:rsidRDefault="00474DB9">
      <w:pPr>
        <w:pStyle w:val="Textbody"/>
        <w:numPr>
          <w:ilvl w:val="1"/>
          <w:numId w:val="12"/>
        </w:numPr>
        <w:spacing w:after="0"/>
      </w:pPr>
      <w:r>
        <w:t>Beispiel: Berlin erhöht die Steuern. (Nicht die Stadt Berlin, sondern die in ihr angesiedelte Bundesregierung erhöht die Steuern)</w:t>
      </w:r>
    </w:p>
    <w:p w14:paraId="729F2F37" w14:textId="77777777" w:rsidR="006E4315" w:rsidRDefault="00474DB9">
      <w:pPr>
        <w:pStyle w:val="Textbody"/>
        <w:numPr>
          <w:ilvl w:val="1"/>
          <w:numId w:val="12"/>
        </w:numPr>
        <w:spacing w:after="0"/>
      </w:pPr>
      <w:r>
        <w:t xml:space="preserve">Sine </w:t>
      </w:r>
      <w:proofErr w:type="spellStart"/>
      <w:r>
        <w:t>Cerere</w:t>
      </w:r>
      <w:proofErr w:type="spellEnd"/>
      <w:r>
        <w:t xml:space="preserve"> et </w:t>
      </w:r>
      <w:proofErr w:type="spellStart"/>
      <w:r>
        <w:t>Baccho</w:t>
      </w:r>
      <w:proofErr w:type="spellEnd"/>
      <w:r>
        <w:t xml:space="preserve"> </w:t>
      </w:r>
      <w:proofErr w:type="spellStart"/>
      <w:r>
        <w:t>friget</w:t>
      </w:r>
      <w:proofErr w:type="spellEnd"/>
      <w:r>
        <w:t xml:space="preserve"> Venus.</w:t>
      </w:r>
      <w:r>
        <w:br/>
      </w:r>
      <w:r>
        <w:t>Übersetzung: Ohne Cere</w:t>
      </w:r>
      <w:r>
        <w:t>s und Bacchus friert die Venus.</w:t>
      </w:r>
      <w:r>
        <w:br/>
      </w:r>
      <w:r>
        <w:t xml:space="preserve">In diesem lateinischen Sprichwort stehen die Göttinnen und der Gott für die Lebensbereiche, die ihnen zugeordnet sind: Ceres: Getreide, allgemein Nahrung; Bacchus: Wein; Venus: die Liebe. Einzelheiten siehe im Artikel der </w:t>
      </w:r>
      <w:hyperlink r:id="rId29" w:history="1">
        <w:r w:rsidRPr="00547EBF">
          <w:rPr>
            <w:color w:val="2F5496" w:themeColor="accent1" w:themeShade="BF"/>
            <w:u w:val="single"/>
          </w:rPr>
          <w:t>Wikipedia</w:t>
        </w:r>
      </w:hyperlink>
      <w:r>
        <w:t>.</w:t>
      </w:r>
    </w:p>
    <w:p w14:paraId="5FE358D3" w14:textId="77777777" w:rsidR="006E4315" w:rsidRDefault="00474DB9">
      <w:pPr>
        <w:pStyle w:val="Textbody"/>
        <w:numPr>
          <w:ilvl w:val="0"/>
          <w:numId w:val="12"/>
        </w:numPr>
      </w:pPr>
      <w:r>
        <w:rPr>
          <w:rStyle w:val="StrongEmphasis"/>
        </w:rPr>
        <w:t>Alternative</w:t>
      </w:r>
      <w:r>
        <w:t xml:space="preserve">: Die Metonymie ist der Metapher verwandt (siehe vorangehender Eintrag), aber bei der Metonymie ist die Beziehung zwischen dem Gesagten und dem Gemeinten </w:t>
      </w:r>
      <w:r>
        <w:t>nicht Ähnlichkeit, sondern ein thematischer, logischer, räumlicher, mythologischer etc. Zusammenhang.</w:t>
      </w:r>
    </w:p>
    <w:p w14:paraId="2FD37CA2" w14:textId="77777777" w:rsidR="006E4315" w:rsidRDefault="00474DB9">
      <w:pPr>
        <w:pStyle w:val="berschrift2"/>
      </w:pPr>
      <w:bookmarkStart w:id="11" w:name="parallelismus"/>
      <w:bookmarkStart w:id="12" w:name="_Ref99277767"/>
      <w:bookmarkEnd w:id="11"/>
      <w:r>
        <w:t>Parallelismus</w:t>
      </w:r>
      <w:bookmarkEnd w:id="12"/>
    </w:p>
    <w:p w14:paraId="5F610E7E" w14:textId="77777777" w:rsidR="006E4315" w:rsidRDefault="00474DB9">
      <w:pPr>
        <w:pStyle w:val="Textbody"/>
        <w:numPr>
          <w:ilvl w:val="0"/>
          <w:numId w:val="13"/>
        </w:numPr>
        <w:spacing w:after="57"/>
      </w:pPr>
      <w:r>
        <w:rPr>
          <w:rStyle w:val="StrongEmphasis"/>
        </w:rPr>
        <w:t xml:space="preserve">Aussprache: </w:t>
      </w:r>
      <w:r>
        <w:t>Betonung auf dem i</w:t>
      </w:r>
    </w:p>
    <w:p w14:paraId="2975E818" w14:textId="77777777" w:rsidR="006E4315" w:rsidRDefault="00474DB9">
      <w:pPr>
        <w:pStyle w:val="Textbody"/>
        <w:numPr>
          <w:ilvl w:val="0"/>
          <w:numId w:val="13"/>
        </w:numPr>
        <w:spacing w:after="57"/>
      </w:pPr>
      <w:r>
        <w:rPr>
          <w:rStyle w:val="StrongEmphasis"/>
        </w:rPr>
        <w:t>Übersetzung</w:t>
      </w:r>
      <w:r>
        <w:t xml:space="preserve"> des Begriffs: v. griech. </w:t>
      </w:r>
      <w:proofErr w:type="spellStart"/>
      <w:r>
        <w:t>parallelos</w:t>
      </w:r>
      <w:proofErr w:type="spellEnd"/>
      <w:r>
        <w:t xml:space="preserve"> (πα</w:t>
      </w:r>
      <w:proofErr w:type="spellStart"/>
      <w:r>
        <w:t>ράλληλος</w:t>
      </w:r>
      <w:proofErr w:type="spellEnd"/>
      <w:r>
        <w:t>) = gleichlaufend</w:t>
      </w:r>
    </w:p>
    <w:p w14:paraId="2B559EE9" w14:textId="77777777" w:rsidR="006E4315" w:rsidRDefault="00474DB9">
      <w:pPr>
        <w:pStyle w:val="Textbody"/>
        <w:numPr>
          <w:ilvl w:val="0"/>
          <w:numId w:val="13"/>
        </w:numPr>
        <w:spacing w:after="57"/>
      </w:pPr>
      <w:r>
        <w:rPr>
          <w:rStyle w:val="StrongEmphasis"/>
        </w:rPr>
        <w:t>Erklärung</w:t>
      </w:r>
      <w:r>
        <w:t>: Mehrere Sätze sind</w:t>
      </w:r>
      <w:r>
        <w:t xml:space="preserve"> syntaktisch, d.h. vom Satzbau her gleich gestaltet, so dass an einer vergleichbaren Stelle die gleichen Satzglieder stehen.</w:t>
      </w:r>
    </w:p>
    <w:p w14:paraId="0EBE2158" w14:textId="77777777" w:rsidR="006E4315" w:rsidRDefault="00474DB9">
      <w:pPr>
        <w:pStyle w:val="Textbody"/>
        <w:numPr>
          <w:ilvl w:val="0"/>
          <w:numId w:val="13"/>
        </w:numPr>
        <w:spacing w:after="57"/>
      </w:pPr>
      <w:r>
        <w:rPr>
          <w:rStyle w:val="StrongEmphasis"/>
        </w:rPr>
        <w:lastRenderedPageBreak/>
        <w:t>Erklärung</w:t>
      </w:r>
      <w:r>
        <w:t>: Mehrere Sätze oder aufeinander folgende Wörter sind vom Satzbau oder von den Formen her gleich gestaltet, so dass an ei</w:t>
      </w:r>
      <w:r>
        <w:t>ner vergleichbaren Stelle die gleichen Satzglieder bzw. Kasus etc. stehen.</w:t>
      </w:r>
    </w:p>
    <w:p w14:paraId="2F11F87F" w14:textId="77777777" w:rsidR="006E4315" w:rsidRDefault="00474DB9">
      <w:pPr>
        <w:pStyle w:val="Textbody"/>
        <w:numPr>
          <w:ilvl w:val="0"/>
          <w:numId w:val="13"/>
        </w:numPr>
        <w:spacing w:after="57"/>
      </w:pPr>
      <w:r>
        <w:rPr>
          <w:rStyle w:val="StrongEmphasis"/>
        </w:rPr>
        <w:t>Beispiel</w:t>
      </w:r>
      <w:r>
        <w:t xml:space="preserve">: </w:t>
      </w:r>
      <w:r>
        <w:br/>
      </w:r>
      <w:r>
        <w:t xml:space="preserve">O </w:t>
      </w:r>
      <w:proofErr w:type="spellStart"/>
      <w:r>
        <w:t>vitam</w:t>
      </w:r>
      <w:proofErr w:type="spellEnd"/>
      <w:r>
        <w:t xml:space="preserve"> </w:t>
      </w:r>
      <w:proofErr w:type="spellStart"/>
      <w:r>
        <w:rPr>
          <w:rStyle w:val="StrongEmphasis"/>
        </w:rPr>
        <w:t>misero</w:t>
      </w:r>
      <w:proofErr w:type="spellEnd"/>
      <w:r>
        <w:rPr>
          <w:rStyle w:val="StrongEmphasis"/>
        </w:rPr>
        <w:t xml:space="preserve"> </w:t>
      </w:r>
      <w:proofErr w:type="spellStart"/>
      <w:r>
        <w:rPr>
          <w:rStyle w:val="StrongEmphasis"/>
        </w:rPr>
        <w:t>longam</w:t>
      </w:r>
      <w:proofErr w:type="spellEnd"/>
      <w:r>
        <w:rPr>
          <w:rStyle w:val="StrongEmphasis"/>
        </w:rPr>
        <w:t xml:space="preserve">, </w:t>
      </w:r>
      <w:proofErr w:type="spellStart"/>
      <w:r>
        <w:rPr>
          <w:rStyle w:val="StrongEmphasis"/>
        </w:rPr>
        <w:t>felici</w:t>
      </w:r>
      <w:proofErr w:type="spellEnd"/>
      <w:r>
        <w:rPr>
          <w:rStyle w:val="StrongEmphasis"/>
        </w:rPr>
        <w:t xml:space="preserve"> </w:t>
      </w:r>
      <w:proofErr w:type="spellStart"/>
      <w:r>
        <w:rPr>
          <w:rStyle w:val="StrongEmphasis"/>
        </w:rPr>
        <w:t>brevem</w:t>
      </w:r>
      <w:proofErr w:type="spellEnd"/>
      <w:r>
        <w:t>! (</w:t>
      </w:r>
      <w:proofErr w:type="spellStart"/>
      <w:r>
        <w:t>Publilius</w:t>
      </w:r>
      <w:proofErr w:type="spellEnd"/>
      <w:r>
        <w:t xml:space="preserve"> </w:t>
      </w:r>
      <w:proofErr w:type="spellStart"/>
      <w:r>
        <w:t>Syrus</w:t>
      </w:r>
      <w:proofErr w:type="spellEnd"/>
      <w:r>
        <w:t>)</w:t>
      </w:r>
      <w:r>
        <w:br/>
      </w:r>
      <w:r>
        <w:t>Übersetzung: Ach, das Leben ist für den Elenden lang, für den Glücklichen kurz!</w:t>
      </w:r>
      <w:r>
        <w:br/>
      </w:r>
      <w:r>
        <w:rPr>
          <w:rStyle w:val="StrongEmphasis"/>
        </w:rPr>
        <w:t>Erläuterung</w:t>
      </w:r>
      <w:r>
        <w:t xml:space="preserve">: Der </w:t>
      </w:r>
      <w:proofErr w:type="spellStart"/>
      <w:r>
        <w:t>Parallismus</w:t>
      </w:r>
      <w:proofErr w:type="spellEnd"/>
      <w:r>
        <w:t xml:space="preserve"> bezie</w:t>
      </w:r>
      <w:r>
        <w:t xml:space="preserve">ht sich auf die Adjektive, die in dem Satz vorkommen: </w:t>
      </w:r>
      <w:proofErr w:type="spellStart"/>
      <w:r>
        <w:rPr>
          <w:rStyle w:val="Hervorhebung"/>
        </w:rPr>
        <w:t>misero</w:t>
      </w:r>
      <w:proofErr w:type="spellEnd"/>
      <w:r>
        <w:t xml:space="preserve"> und </w:t>
      </w:r>
      <w:proofErr w:type="spellStart"/>
      <w:r>
        <w:rPr>
          <w:rStyle w:val="Hervorhebung"/>
        </w:rPr>
        <w:t>felici</w:t>
      </w:r>
      <w:proofErr w:type="spellEnd"/>
      <w:r>
        <w:rPr>
          <w:rStyle w:val="Hervorhebung"/>
        </w:rPr>
        <w:t xml:space="preserve"> </w:t>
      </w:r>
      <w:r>
        <w:t xml:space="preserve">stehen beide im Dativ </w:t>
      </w:r>
      <w:proofErr w:type="spellStart"/>
      <w:r>
        <w:t>Sg</w:t>
      </w:r>
      <w:proofErr w:type="spellEnd"/>
      <w:r>
        <w:t xml:space="preserve">. masc., </w:t>
      </w:r>
      <w:proofErr w:type="spellStart"/>
      <w:r>
        <w:rPr>
          <w:rStyle w:val="Hervorhebung"/>
        </w:rPr>
        <w:t>longam</w:t>
      </w:r>
      <w:proofErr w:type="spellEnd"/>
      <w:r>
        <w:t xml:space="preserve"> </w:t>
      </w:r>
      <w:r>
        <w:rPr>
          <w:rStyle w:val="Hervorhebung"/>
        </w:rPr>
        <w:t xml:space="preserve">und </w:t>
      </w:r>
      <w:proofErr w:type="spellStart"/>
      <w:r>
        <w:rPr>
          <w:rStyle w:val="Hervorhebung"/>
        </w:rPr>
        <w:t>brevem</w:t>
      </w:r>
      <w:proofErr w:type="spellEnd"/>
      <w:r>
        <w:t xml:space="preserve"> im Akkusativ </w:t>
      </w:r>
      <w:proofErr w:type="spellStart"/>
      <w:r>
        <w:t>Sg</w:t>
      </w:r>
      <w:proofErr w:type="spellEnd"/>
      <w:r>
        <w:t>. fem</w:t>
      </w:r>
      <w:r>
        <w:rPr>
          <w:rStyle w:val="Hervorhebung"/>
        </w:rPr>
        <w:t>.</w:t>
      </w:r>
      <w:r>
        <w:t xml:space="preserve"> Der Satz ist zugleich ein Beispiel für die </w:t>
      </w:r>
      <w:hyperlink r:id="rId30" w:history="1">
        <w:r w:rsidRPr="00547EBF">
          <w:rPr>
            <w:color w:val="2F5496" w:themeColor="accent1" w:themeShade="BF"/>
            <w:u w:val="single"/>
          </w:rPr>
          <w:t>↑ Antithese ↑</w:t>
        </w:r>
      </w:hyperlink>
      <w:r>
        <w:t>.</w:t>
      </w:r>
    </w:p>
    <w:p w14:paraId="5F76FD92" w14:textId="77777777" w:rsidR="006E4315" w:rsidRDefault="00474DB9">
      <w:pPr>
        <w:pStyle w:val="Textbody"/>
        <w:numPr>
          <w:ilvl w:val="0"/>
          <w:numId w:val="13"/>
        </w:numPr>
        <w:spacing w:after="57"/>
      </w:pPr>
      <w:r>
        <w:t xml:space="preserve">Alternative: </w:t>
      </w:r>
      <w:hyperlink r:id="rId31" w:history="1">
        <w:r w:rsidRPr="00547EBF">
          <w:rPr>
            <w:color w:val="2F5496" w:themeColor="accent1" w:themeShade="BF"/>
            <w:u w:val="single"/>
          </w:rPr>
          <w:t>↑ Chiasmus ↑</w:t>
        </w:r>
      </w:hyperlink>
    </w:p>
    <w:p w14:paraId="72EAB748" w14:textId="77777777" w:rsidR="006E4315" w:rsidRDefault="006E4315">
      <w:pPr>
        <w:pStyle w:val="berschrift3"/>
      </w:pPr>
    </w:p>
    <w:p w14:paraId="31863EEA" w14:textId="77777777" w:rsidR="006E4315" w:rsidRDefault="00474DB9">
      <w:pPr>
        <w:pStyle w:val="berschrift2"/>
      </w:pPr>
      <w:bookmarkStart w:id="13" w:name="paradox"/>
      <w:bookmarkEnd w:id="13"/>
      <w:r>
        <w:t>Paradox</w:t>
      </w:r>
    </w:p>
    <w:p w14:paraId="0628774B" w14:textId="77777777" w:rsidR="006E4315" w:rsidRDefault="00474DB9">
      <w:pPr>
        <w:pStyle w:val="Textbody"/>
        <w:numPr>
          <w:ilvl w:val="0"/>
          <w:numId w:val="14"/>
        </w:numPr>
        <w:spacing w:after="0"/>
      </w:pPr>
      <w:r>
        <w:rPr>
          <w:rStyle w:val="StrongEmphasis"/>
        </w:rPr>
        <w:t>Übersetzung</w:t>
      </w:r>
      <w:r>
        <w:t xml:space="preserve"> des Begriffs: das Unerwartete (von gr. πα</w:t>
      </w:r>
      <w:proofErr w:type="spellStart"/>
      <w:r>
        <w:t>ράδοξος</w:t>
      </w:r>
      <w:proofErr w:type="spellEnd"/>
      <w:r>
        <w:t>: unerwartet, unglaublich)</w:t>
      </w:r>
    </w:p>
    <w:p w14:paraId="59753B61" w14:textId="77777777" w:rsidR="006E4315" w:rsidRDefault="00474DB9">
      <w:pPr>
        <w:pStyle w:val="Textbody"/>
        <w:numPr>
          <w:ilvl w:val="0"/>
          <w:numId w:val="14"/>
        </w:numPr>
        <w:spacing w:after="0"/>
      </w:pPr>
      <w:r>
        <w:rPr>
          <w:rStyle w:val="StrongEmphasis"/>
        </w:rPr>
        <w:t>Erklärung</w:t>
      </w:r>
      <w:r>
        <w:t>: In der Beschreibung von Stilmitteln versteht man unter einem Paradox eine überraschende Aussage, die einen auf den ersten Blick unerklärbaren Widerspruch enthält. Meist</w:t>
      </w:r>
      <w:r>
        <w:t xml:space="preserve"> spielt der Autor mit verschiedenen Bedeutungen eines Wortes. Als philosophischer Begriff bezeichnet „Paradox“ eine Aussage, die einen unauflösbaren Widerspruch enthält.</w:t>
      </w:r>
    </w:p>
    <w:p w14:paraId="0173EEDB" w14:textId="77777777" w:rsidR="006E4315" w:rsidRDefault="00474DB9">
      <w:pPr>
        <w:pStyle w:val="Textbody"/>
        <w:numPr>
          <w:ilvl w:val="0"/>
          <w:numId w:val="14"/>
        </w:numPr>
        <w:spacing w:after="0"/>
      </w:pPr>
      <w:r>
        <w:rPr>
          <w:rStyle w:val="StrongEmphasis"/>
        </w:rPr>
        <w:t>Beispiel</w:t>
      </w:r>
      <w:r>
        <w:t>:</w:t>
      </w:r>
    </w:p>
    <w:p w14:paraId="579EE946" w14:textId="77777777" w:rsidR="006E4315" w:rsidRDefault="00474DB9">
      <w:pPr>
        <w:pStyle w:val="Textbody"/>
        <w:spacing w:after="0"/>
        <w:ind w:left="709"/>
      </w:pPr>
      <w:r>
        <w:t>Am Ende der Geschichte von Narcissus und Echo sagt Narcissus: „</w:t>
      </w:r>
      <w:proofErr w:type="spellStart"/>
      <w:r>
        <w:t>inopem</w:t>
      </w:r>
      <w:proofErr w:type="spellEnd"/>
      <w:r>
        <w:t xml:space="preserve"> </w:t>
      </w:r>
      <w:proofErr w:type="spellStart"/>
      <w:r>
        <w:t>me</w:t>
      </w:r>
      <w:proofErr w:type="spellEnd"/>
      <w:r>
        <w:t xml:space="preserve"> </w:t>
      </w:r>
      <w:proofErr w:type="spellStart"/>
      <w:r>
        <w:t>co</w:t>
      </w:r>
      <w:r>
        <w:t>pia</w:t>
      </w:r>
      <w:proofErr w:type="spellEnd"/>
      <w:r>
        <w:t xml:space="preserve"> fecit“ (Ovid, Metamorphosen, 3, 466; Übersetzung: Die Fülle hat mich arm gemacht). Die Fülle der Liebe zu sich selbst bzw. zu seinem Spiegelbild hat Narcissus arm an Liebe zu anderen gemacht. </w:t>
      </w:r>
      <w:r>
        <w:br/>
      </w:r>
      <w:r>
        <w:t>Erläuterung zum Zitat: Die Fülle der Liebe zu sich selbst b</w:t>
      </w:r>
      <w:r>
        <w:t>zw. zu seinem Spiegelbild hat Narcissus arm an Liebe zu anderen gemacht.</w:t>
      </w:r>
      <w:r>
        <w:rPr>
          <w:rStyle w:val="Funotenzeichen"/>
        </w:rPr>
        <w:footnoteReference w:id="2"/>
      </w:r>
    </w:p>
    <w:p w14:paraId="06681899" w14:textId="77777777" w:rsidR="006E4315" w:rsidRDefault="00474DB9">
      <w:pPr>
        <w:pStyle w:val="Textbody"/>
        <w:numPr>
          <w:ilvl w:val="0"/>
          <w:numId w:val="14"/>
        </w:numPr>
      </w:pPr>
      <w:r>
        <w:rPr>
          <w:rStyle w:val="StrongEmphasis"/>
        </w:rPr>
        <w:t xml:space="preserve">Philosophische Bedeutung des Begriffs: </w:t>
      </w:r>
      <w:r>
        <w:rPr>
          <w:rStyle w:val="StrongEmphasis"/>
          <w:b w:val="0"/>
          <w:bCs w:val="0"/>
        </w:rPr>
        <w:t xml:space="preserve">Der Begriff Paradox wird in der Literaturwissenschaft und der Philosophie </w:t>
      </w:r>
      <w:r>
        <w:rPr>
          <w:rStyle w:val="StrongEmphasis"/>
          <w:b w:val="0"/>
          <w:bCs w:val="0"/>
        </w:rPr>
        <w:t>unterschiedlich verwendet. Als philosophischer Begriff bezeichnet „Paradox“ eine Aussage, die einen unauflösbaren logischen oder moralischen Widerspruch enthält.</w:t>
      </w:r>
      <w:r w:rsidRPr="00547EBF">
        <w:rPr>
          <w:rStyle w:val="StrongEmphasis"/>
          <w:b w:val="0"/>
          <w:bCs w:val="0"/>
          <w:vertAlign w:val="superscript"/>
        </w:rPr>
        <w:footnoteReference w:id="3"/>
      </w:r>
    </w:p>
    <w:p w14:paraId="62844F51" w14:textId="77777777" w:rsidR="006E4315" w:rsidRDefault="00474DB9">
      <w:pPr>
        <w:pStyle w:val="Textbody"/>
        <w:numPr>
          <w:ilvl w:val="0"/>
          <w:numId w:val="14"/>
        </w:numPr>
      </w:pPr>
      <w:r>
        <w:rPr>
          <w:rStyle w:val="StrongEmphasis"/>
        </w:rPr>
        <w:t>Verwandtes Stilmittel</w:t>
      </w:r>
      <w:r>
        <w:t xml:space="preserve">: </w:t>
      </w:r>
      <w:hyperlink r:id="rId32" w:history="1">
        <w:r w:rsidRPr="00547EBF">
          <w:rPr>
            <w:color w:val="2F5496" w:themeColor="accent1" w:themeShade="BF"/>
            <w:u w:val="single"/>
          </w:rPr>
          <w:t>↑ Antit</w:t>
        </w:r>
        <w:r w:rsidRPr="00547EBF">
          <w:rPr>
            <w:color w:val="2F5496" w:themeColor="accent1" w:themeShade="BF"/>
            <w:u w:val="single"/>
          </w:rPr>
          <w:t>h</w:t>
        </w:r>
        <w:r w:rsidRPr="00547EBF">
          <w:rPr>
            <w:color w:val="2F5496" w:themeColor="accent1" w:themeShade="BF"/>
            <w:u w:val="single"/>
          </w:rPr>
          <w:t>ese ↑</w:t>
        </w:r>
      </w:hyperlink>
    </w:p>
    <w:p w14:paraId="08E3B6F0" w14:textId="77777777" w:rsidR="006E4315" w:rsidRDefault="00474DB9">
      <w:pPr>
        <w:pStyle w:val="berschrift2"/>
      </w:pPr>
      <w:bookmarkStart w:id="14" w:name="polyptoton"/>
      <w:bookmarkEnd w:id="14"/>
      <w:r>
        <w:lastRenderedPageBreak/>
        <w:t>Polyptoton</w:t>
      </w:r>
    </w:p>
    <w:p w14:paraId="22EDC6DE" w14:textId="77777777" w:rsidR="006E4315" w:rsidRDefault="00474DB9">
      <w:pPr>
        <w:pStyle w:val="Textbody"/>
        <w:numPr>
          <w:ilvl w:val="0"/>
          <w:numId w:val="15"/>
        </w:numPr>
        <w:spacing w:after="0"/>
      </w:pPr>
      <w:r>
        <w:rPr>
          <w:rStyle w:val="StrongEmphasis"/>
        </w:rPr>
        <w:t>Aussprache</w:t>
      </w:r>
      <w:r>
        <w:t>: Betonung auf dem y</w:t>
      </w:r>
    </w:p>
    <w:p w14:paraId="16F2F689" w14:textId="77777777" w:rsidR="006E4315" w:rsidRDefault="00474DB9">
      <w:pPr>
        <w:pStyle w:val="Textbody"/>
        <w:numPr>
          <w:ilvl w:val="0"/>
          <w:numId w:val="15"/>
        </w:numPr>
        <w:spacing w:after="0"/>
      </w:pPr>
      <w:r>
        <w:rPr>
          <w:rStyle w:val="StrongEmphasis"/>
        </w:rPr>
        <w:t>Übersetzung</w:t>
      </w:r>
      <w:r>
        <w:t xml:space="preserve"> des Begriffs: griechisch </w:t>
      </w:r>
      <w:proofErr w:type="spellStart"/>
      <w:r>
        <w:t>polys</w:t>
      </w:r>
      <w:proofErr w:type="spellEnd"/>
      <w:r>
        <w:t xml:space="preserve"> (π</w:t>
      </w:r>
      <w:proofErr w:type="spellStart"/>
      <w:r>
        <w:t>όλυς</w:t>
      </w:r>
      <w:proofErr w:type="spellEnd"/>
      <w:r>
        <w:t xml:space="preserve">) = viel; </w:t>
      </w:r>
      <w:proofErr w:type="spellStart"/>
      <w:r>
        <w:t>ptosis</w:t>
      </w:r>
      <w:proofErr w:type="spellEnd"/>
      <w:r>
        <w:t xml:space="preserve"> (π</w:t>
      </w:r>
      <w:proofErr w:type="spellStart"/>
      <w:r>
        <w:t>τ</w:t>
      </w:r>
      <w:r>
        <w:t>ῶ</w:t>
      </w:r>
      <w:r>
        <w:t>σις</w:t>
      </w:r>
      <w:proofErr w:type="spellEnd"/>
      <w:r>
        <w:t>) = der grammatische Fall, Kasus, also: „vielfacher Fall“.</w:t>
      </w:r>
    </w:p>
    <w:p w14:paraId="01E8AEFB" w14:textId="77777777" w:rsidR="006E4315" w:rsidRDefault="00474DB9">
      <w:pPr>
        <w:pStyle w:val="Textbody"/>
        <w:numPr>
          <w:ilvl w:val="0"/>
          <w:numId w:val="15"/>
        </w:numPr>
        <w:spacing w:after="0"/>
      </w:pPr>
      <w:r>
        <w:rPr>
          <w:rStyle w:val="StrongEmphasis"/>
        </w:rPr>
        <w:t>Erklärung</w:t>
      </w:r>
      <w:r>
        <w:t>: Dasselbe Wort kommt in verschiedenen Formen vor.</w:t>
      </w:r>
    </w:p>
    <w:p w14:paraId="568D720E" w14:textId="77777777" w:rsidR="006E4315" w:rsidRDefault="00474DB9">
      <w:pPr>
        <w:pStyle w:val="Textbody"/>
        <w:numPr>
          <w:ilvl w:val="0"/>
          <w:numId w:val="15"/>
        </w:numPr>
        <w:spacing w:after="0"/>
      </w:pPr>
      <w:r>
        <w:rPr>
          <w:rStyle w:val="StrongEmphasis"/>
        </w:rPr>
        <w:t>Beispiele</w:t>
      </w:r>
      <w:r>
        <w:t>:</w:t>
      </w:r>
    </w:p>
    <w:p w14:paraId="0B5D56A3" w14:textId="77777777" w:rsidR="006E4315" w:rsidRDefault="00474DB9">
      <w:pPr>
        <w:pStyle w:val="Textbody"/>
        <w:numPr>
          <w:ilvl w:val="1"/>
          <w:numId w:val="15"/>
        </w:numPr>
        <w:spacing w:after="0"/>
      </w:pPr>
      <w:r>
        <w:t xml:space="preserve">Heu </w:t>
      </w:r>
      <w:proofErr w:type="spellStart"/>
      <w:r>
        <w:t>stirpem</w:t>
      </w:r>
      <w:proofErr w:type="spellEnd"/>
      <w:r>
        <w:t xml:space="preserve"> </w:t>
      </w:r>
      <w:proofErr w:type="spellStart"/>
      <w:r>
        <w:t>invisam</w:t>
      </w:r>
      <w:proofErr w:type="spellEnd"/>
      <w:r>
        <w:t xml:space="preserve"> et </w:t>
      </w:r>
      <w:proofErr w:type="spellStart"/>
      <w:r>
        <w:rPr>
          <w:rStyle w:val="StrongEmphasis"/>
        </w:rPr>
        <w:t>fatis</w:t>
      </w:r>
      <w:proofErr w:type="spellEnd"/>
      <w:r>
        <w:t xml:space="preserve"> </w:t>
      </w:r>
      <w:proofErr w:type="spellStart"/>
      <w:r>
        <w:t>contraria</w:t>
      </w:r>
      <w:proofErr w:type="spellEnd"/>
      <w:r>
        <w:t xml:space="preserve"> </w:t>
      </w:r>
      <w:proofErr w:type="spellStart"/>
      <w:r>
        <w:t>nostris</w:t>
      </w:r>
      <w:proofErr w:type="spellEnd"/>
      <w:r>
        <w:br/>
      </w:r>
      <w:proofErr w:type="spellStart"/>
      <w:r>
        <w:rPr>
          <w:rStyle w:val="StrongEmphasis"/>
        </w:rPr>
        <w:t>fata</w:t>
      </w:r>
      <w:proofErr w:type="spellEnd"/>
      <w:r>
        <w:t xml:space="preserve"> </w:t>
      </w:r>
      <w:proofErr w:type="spellStart"/>
      <w:r>
        <w:t>Phrygum</w:t>
      </w:r>
      <w:proofErr w:type="spellEnd"/>
      <w:r>
        <w:t>!</w:t>
      </w:r>
      <w:r>
        <w:br/>
      </w:r>
      <w:r>
        <w:t xml:space="preserve">(Vergil, Aeneis 7, 293 f.; aus der </w:t>
      </w:r>
      <w:proofErr w:type="spellStart"/>
      <w:r>
        <w:t>Zor</w:t>
      </w:r>
      <w:r>
        <w:t>nrede</w:t>
      </w:r>
      <w:proofErr w:type="spellEnd"/>
      <w:r>
        <w:t xml:space="preserve"> der </w:t>
      </w:r>
      <w:proofErr w:type="spellStart"/>
      <w:r>
        <w:t>Iuno</w:t>
      </w:r>
      <w:proofErr w:type="spellEnd"/>
      <w:r>
        <w:t>)</w:t>
      </w:r>
      <w:r>
        <w:br/>
      </w:r>
      <w:r>
        <w:t>Übersetzung: weh dir, du verhasstes Geschlecht der Phryger, und wehe über ihr Fatum, das unserem Fatum entgegensteht!</w:t>
      </w:r>
    </w:p>
    <w:p w14:paraId="16D163A4" w14:textId="77777777" w:rsidR="006E4315" w:rsidRDefault="00474DB9">
      <w:pPr>
        <w:pStyle w:val="Textbody"/>
        <w:numPr>
          <w:ilvl w:val="1"/>
          <w:numId w:val="15"/>
        </w:numPr>
        <w:spacing w:after="0"/>
      </w:pPr>
      <w:proofErr w:type="spellStart"/>
      <w:r>
        <w:t>Num</w:t>
      </w:r>
      <w:proofErr w:type="spellEnd"/>
      <w:r>
        <w:t xml:space="preserve"> </w:t>
      </w:r>
      <w:proofErr w:type="spellStart"/>
      <w:r>
        <w:t>Sigeis</w:t>
      </w:r>
      <w:proofErr w:type="spellEnd"/>
      <w:r>
        <w:t xml:space="preserve"> </w:t>
      </w:r>
      <w:proofErr w:type="spellStart"/>
      <w:r>
        <w:t>occumbere</w:t>
      </w:r>
      <w:proofErr w:type="spellEnd"/>
      <w:r>
        <w:t xml:space="preserve"> </w:t>
      </w:r>
      <w:proofErr w:type="spellStart"/>
      <w:r>
        <w:t>campis</w:t>
      </w:r>
      <w:proofErr w:type="spellEnd"/>
      <w:r>
        <w:br/>
      </w:r>
      <w:proofErr w:type="spellStart"/>
      <w:r>
        <w:t>num</w:t>
      </w:r>
      <w:proofErr w:type="spellEnd"/>
      <w:r>
        <w:t xml:space="preserve"> </w:t>
      </w:r>
      <w:proofErr w:type="spellStart"/>
      <w:r>
        <w:rPr>
          <w:rStyle w:val="StrongEmphasis"/>
        </w:rPr>
        <w:t>capti</w:t>
      </w:r>
      <w:proofErr w:type="spellEnd"/>
      <w:r>
        <w:t xml:space="preserve"> </w:t>
      </w:r>
      <w:proofErr w:type="spellStart"/>
      <w:r>
        <w:t>potuere</w:t>
      </w:r>
      <w:proofErr w:type="spellEnd"/>
      <w:r>
        <w:t xml:space="preserve"> </w:t>
      </w:r>
      <w:proofErr w:type="spellStart"/>
      <w:r>
        <w:rPr>
          <w:rStyle w:val="StrongEmphasis"/>
        </w:rPr>
        <w:t>capi</w:t>
      </w:r>
      <w:proofErr w:type="spellEnd"/>
      <w:r>
        <w:t>?</w:t>
      </w:r>
      <w:r>
        <w:br/>
      </w:r>
      <w:r>
        <w:t xml:space="preserve">(Vergil, Aeneis 7, 294 f.; aus der </w:t>
      </w:r>
      <w:proofErr w:type="spellStart"/>
      <w:r>
        <w:t>Zornrede</w:t>
      </w:r>
      <w:proofErr w:type="spellEnd"/>
      <w:r>
        <w:t xml:space="preserve"> der </w:t>
      </w:r>
      <w:proofErr w:type="spellStart"/>
      <w:r>
        <w:t>Iuno</w:t>
      </w:r>
      <w:proofErr w:type="spellEnd"/>
      <w:r>
        <w:t>)</w:t>
      </w:r>
      <w:r>
        <w:br/>
      </w:r>
      <w:r>
        <w:t>Übersetzung: Hä</w:t>
      </w:r>
      <w:r>
        <w:t>tten sie [die Trojaner, d.h. die Leute des Aeneas] nicht auf den Feldern Trojas sterben können, hätten sie nicht, als Gefangene, festgehalten werden können?</w:t>
      </w:r>
    </w:p>
    <w:p w14:paraId="79E8356F" w14:textId="77777777" w:rsidR="006E4315" w:rsidRDefault="00474DB9">
      <w:pPr>
        <w:pStyle w:val="Textbody"/>
        <w:numPr>
          <w:ilvl w:val="1"/>
          <w:numId w:val="15"/>
        </w:numPr>
        <w:spacing w:after="0"/>
      </w:pPr>
      <w:proofErr w:type="spellStart"/>
      <w:r>
        <w:rPr>
          <w:rStyle w:val="StrongEmphasis"/>
        </w:rPr>
        <w:t>Medias</w:t>
      </w:r>
      <w:proofErr w:type="spellEnd"/>
      <w:r>
        <w:t xml:space="preserve"> </w:t>
      </w:r>
      <w:proofErr w:type="spellStart"/>
      <w:r>
        <w:t>acies</w:t>
      </w:r>
      <w:proofErr w:type="spellEnd"/>
      <w:r>
        <w:t xml:space="preserve"> </w:t>
      </w:r>
      <w:proofErr w:type="spellStart"/>
      <w:r>
        <w:rPr>
          <w:rStyle w:val="StrongEmphasis"/>
        </w:rPr>
        <w:t>mediosque</w:t>
      </w:r>
      <w:proofErr w:type="spellEnd"/>
      <w:r>
        <w:t xml:space="preserve"> per </w:t>
      </w:r>
      <w:proofErr w:type="spellStart"/>
      <w:r>
        <w:t>ignis</w:t>
      </w:r>
      <w:proofErr w:type="spellEnd"/>
      <w:r>
        <w:br/>
      </w:r>
      <w:proofErr w:type="spellStart"/>
      <w:r>
        <w:t>invenere</w:t>
      </w:r>
      <w:proofErr w:type="spellEnd"/>
      <w:r>
        <w:t xml:space="preserve"> </w:t>
      </w:r>
      <w:proofErr w:type="spellStart"/>
      <w:r>
        <w:t>viam</w:t>
      </w:r>
      <w:proofErr w:type="spellEnd"/>
      <w:r>
        <w:t xml:space="preserve">. </w:t>
      </w:r>
      <w:r>
        <w:br/>
      </w:r>
      <w:r>
        <w:t xml:space="preserve">(Vergil, Aeneis 7, 296 f.; aus der </w:t>
      </w:r>
      <w:proofErr w:type="spellStart"/>
      <w:r>
        <w:t>Zornrede</w:t>
      </w:r>
      <w:proofErr w:type="spellEnd"/>
      <w:r>
        <w:t xml:space="preserve"> der </w:t>
      </w:r>
      <w:proofErr w:type="spellStart"/>
      <w:r>
        <w:t>I</w:t>
      </w:r>
      <w:r>
        <w:t>uno</w:t>
      </w:r>
      <w:proofErr w:type="spellEnd"/>
      <w:r>
        <w:t>)</w:t>
      </w:r>
      <w:r>
        <w:br/>
      </w:r>
      <w:r>
        <w:t>Mitten durch die Schlachtreihen und mitten durch das Feuer fanden sie einen Weg.</w:t>
      </w:r>
    </w:p>
    <w:p w14:paraId="5C56DFA1" w14:textId="77777777" w:rsidR="006E4315" w:rsidRDefault="00474DB9">
      <w:pPr>
        <w:pStyle w:val="Textbody"/>
        <w:numPr>
          <w:ilvl w:val="0"/>
          <w:numId w:val="15"/>
        </w:numPr>
      </w:pPr>
      <w:r>
        <w:rPr>
          <w:rStyle w:val="StrongEmphasis"/>
        </w:rPr>
        <w:t>Alternative</w:t>
      </w:r>
      <w:r>
        <w:t>: Statt verschiedener Formen des gleichen Wortes kann der Autor Synonyme wählen.</w:t>
      </w:r>
    </w:p>
    <w:p w14:paraId="0BCE0A85" w14:textId="77777777" w:rsidR="006E4315" w:rsidRDefault="00474DB9">
      <w:pPr>
        <w:pStyle w:val="berschrift2"/>
      </w:pPr>
      <w:bookmarkStart w:id="15" w:name="polysyndeton"/>
      <w:bookmarkEnd w:id="15"/>
      <w:r>
        <w:t>Polysyndeton</w:t>
      </w:r>
    </w:p>
    <w:p w14:paraId="7A763A6C" w14:textId="77777777" w:rsidR="006E4315" w:rsidRDefault="00474DB9">
      <w:pPr>
        <w:pStyle w:val="Textbody"/>
        <w:numPr>
          <w:ilvl w:val="0"/>
          <w:numId w:val="16"/>
        </w:numPr>
        <w:spacing w:after="0"/>
      </w:pPr>
      <w:r>
        <w:rPr>
          <w:rStyle w:val="StrongEmphasis"/>
        </w:rPr>
        <w:t>Aussprache</w:t>
      </w:r>
      <w:r>
        <w:t xml:space="preserve">: Betonung auf </w:t>
      </w:r>
      <w:proofErr w:type="spellStart"/>
      <w:r>
        <w:t>syn</w:t>
      </w:r>
      <w:proofErr w:type="spellEnd"/>
    </w:p>
    <w:p w14:paraId="24AC4496" w14:textId="77777777" w:rsidR="006E4315" w:rsidRDefault="00474DB9">
      <w:pPr>
        <w:pStyle w:val="Textbody"/>
        <w:numPr>
          <w:ilvl w:val="0"/>
          <w:numId w:val="16"/>
        </w:numPr>
        <w:spacing w:after="0"/>
      </w:pPr>
      <w:r>
        <w:rPr>
          <w:rStyle w:val="StrongEmphasis"/>
        </w:rPr>
        <w:t>Übersetzung</w:t>
      </w:r>
      <w:r>
        <w:t xml:space="preserve"> des Begriffs: Vielverbundenes</w:t>
      </w:r>
    </w:p>
    <w:p w14:paraId="7FCFF200" w14:textId="77777777" w:rsidR="006E4315" w:rsidRDefault="00474DB9">
      <w:pPr>
        <w:pStyle w:val="Textbody"/>
        <w:numPr>
          <w:ilvl w:val="0"/>
          <w:numId w:val="16"/>
        </w:numPr>
        <w:spacing w:after="0"/>
      </w:pPr>
      <w:r>
        <w:rPr>
          <w:rStyle w:val="StrongEmphasis"/>
        </w:rPr>
        <w:t>Erklärung</w:t>
      </w:r>
      <w:r>
        <w:t>: Aufzählung, bei der zwischen allen Aufzählungsgliedern eine Konjunktion steht (z.B. „und“)</w:t>
      </w:r>
    </w:p>
    <w:p w14:paraId="6783DD16" w14:textId="77777777" w:rsidR="006E4315" w:rsidRDefault="00474DB9">
      <w:pPr>
        <w:pStyle w:val="Textbody"/>
        <w:numPr>
          <w:ilvl w:val="0"/>
          <w:numId w:val="16"/>
        </w:numPr>
        <w:spacing w:after="0"/>
      </w:pPr>
      <w:r>
        <w:rPr>
          <w:rStyle w:val="StrongEmphasis"/>
        </w:rPr>
        <w:t>Beispiele</w:t>
      </w:r>
      <w:r>
        <w:t>:</w:t>
      </w:r>
    </w:p>
    <w:p w14:paraId="48C59532" w14:textId="77777777" w:rsidR="006E4315" w:rsidRDefault="00474DB9">
      <w:pPr>
        <w:pStyle w:val="Textbody"/>
        <w:numPr>
          <w:ilvl w:val="1"/>
          <w:numId w:val="16"/>
        </w:numPr>
        <w:spacing w:after="0"/>
      </w:pPr>
      <w:proofErr w:type="spellStart"/>
      <w:r>
        <w:t>proximus</w:t>
      </w:r>
      <w:proofErr w:type="spellEnd"/>
      <w:r>
        <w:t xml:space="preserve"> </w:t>
      </w:r>
      <w:proofErr w:type="spellStart"/>
      <w:r>
        <w:t>ille</w:t>
      </w:r>
      <w:proofErr w:type="spellEnd"/>
      <w:r>
        <w:t xml:space="preserve"> </w:t>
      </w:r>
      <w:proofErr w:type="spellStart"/>
      <w:r>
        <w:t>Procas</w:t>
      </w:r>
      <w:proofErr w:type="spellEnd"/>
      <w:r>
        <w:t xml:space="preserve">, </w:t>
      </w:r>
      <w:proofErr w:type="spellStart"/>
      <w:r>
        <w:t>Troianae</w:t>
      </w:r>
      <w:proofErr w:type="spellEnd"/>
      <w:r>
        <w:t xml:space="preserve"> </w:t>
      </w:r>
      <w:proofErr w:type="spellStart"/>
      <w:r>
        <w:t>gloria</w:t>
      </w:r>
      <w:proofErr w:type="spellEnd"/>
      <w:r>
        <w:t xml:space="preserve"> </w:t>
      </w:r>
      <w:proofErr w:type="spellStart"/>
      <w:r>
        <w:t>gentis</w:t>
      </w:r>
      <w:proofErr w:type="spellEnd"/>
      <w:r>
        <w:t>,</w:t>
      </w:r>
      <w:r>
        <w:br/>
      </w:r>
      <w:r>
        <w:rPr>
          <w:rStyle w:val="StrongEmphasis"/>
        </w:rPr>
        <w:t>et</w:t>
      </w:r>
      <w:r>
        <w:t xml:space="preserve"> </w:t>
      </w:r>
      <w:proofErr w:type="spellStart"/>
      <w:r>
        <w:t>Capys</w:t>
      </w:r>
      <w:proofErr w:type="spellEnd"/>
      <w:r>
        <w:t xml:space="preserve"> </w:t>
      </w:r>
      <w:r>
        <w:rPr>
          <w:rStyle w:val="StrongEmphasis"/>
        </w:rPr>
        <w:t>et</w:t>
      </w:r>
      <w:r>
        <w:t xml:space="preserve"> </w:t>
      </w:r>
      <w:proofErr w:type="spellStart"/>
      <w:r>
        <w:t>Numitor</w:t>
      </w:r>
      <w:proofErr w:type="spellEnd"/>
      <w:r>
        <w:t xml:space="preserve"> </w:t>
      </w:r>
      <w:r>
        <w:rPr>
          <w:rStyle w:val="StrongEmphasis"/>
        </w:rPr>
        <w:t>et</w:t>
      </w:r>
      <w:r>
        <w:t xml:space="preserve"> </w:t>
      </w:r>
      <w:proofErr w:type="spellStart"/>
      <w:r>
        <w:t>qui</w:t>
      </w:r>
      <w:proofErr w:type="spellEnd"/>
      <w:r>
        <w:t xml:space="preserve"> </w:t>
      </w:r>
      <w:proofErr w:type="spellStart"/>
      <w:r>
        <w:t>te</w:t>
      </w:r>
      <w:proofErr w:type="spellEnd"/>
      <w:r>
        <w:t xml:space="preserve"> nomine </w:t>
      </w:r>
      <w:proofErr w:type="spellStart"/>
      <w:r>
        <w:t>reddet</w:t>
      </w:r>
      <w:proofErr w:type="spellEnd"/>
      <w:r>
        <w:br/>
      </w:r>
      <w:r>
        <w:t>Silvius Aeneas</w:t>
      </w:r>
      <w:r>
        <w:br/>
      </w:r>
      <w:r>
        <w:t>(Ver</w:t>
      </w:r>
      <w:r>
        <w:t>gil, Aeneis 6, 767 - 69; aus der Heldenschau in der Unterwelt)</w:t>
      </w:r>
      <w:r>
        <w:br/>
      </w:r>
      <w:r>
        <w:t xml:space="preserve">Übersetzung: Der nächste ist </w:t>
      </w:r>
      <w:proofErr w:type="spellStart"/>
      <w:r>
        <w:t>Procas</w:t>
      </w:r>
      <w:proofErr w:type="spellEnd"/>
      <w:r>
        <w:t xml:space="preserve">, der Ruhm des trojanischen Stammes, und </w:t>
      </w:r>
      <w:proofErr w:type="spellStart"/>
      <w:r>
        <w:t>Capys</w:t>
      </w:r>
      <w:proofErr w:type="spellEnd"/>
      <w:r>
        <w:t xml:space="preserve"> und </w:t>
      </w:r>
      <w:proofErr w:type="spellStart"/>
      <w:r>
        <w:t>Numitor</w:t>
      </w:r>
      <w:proofErr w:type="spellEnd"/>
      <w:r>
        <w:t xml:space="preserve"> und Silvius Aeneas, der wieder deinen Namen tragen wird.</w:t>
      </w:r>
    </w:p>
    <w:p w14:paraId="5EF970D6" w14:textId="77777777" w:rsidR="006E4315" w:rsidRDefault="00474DB9">
      <w:pPr>
        <w:pStyle w:val="Textbody"/>
        <w:numPr>
          <w:ilvl w:val="1"/>
          <w:numId w:val="16"/>
        </w:numPr>
        <w:spacing w:after="0"/>
      </w:pPr>
      <w:r>
        <w:t>Beispiel aus der deutschen Werbesprache:</w:t>
      </w:r>
      <w:r>
        <w:br/>
      </w:r>
      <w:r>
        <w:t>Er läuft und läuft und läuft.</w:t>
      </w:r>
    </w:p>
    <w:p w14:paraId="226A9B22" w14:textId="77777777" w:rsidR="006E4315" w:rsidRDefault="00474DB9">
      <w:pPr>
        <w:pStyle w:val="Textbody"/>
        <w:numPr>
          <w:ilvl w:val="0"/>
          <w:numId w:val="16"/>
        </w:numPr>
      </w:pPr>
      <w:r>
        <w:rPr>
          <w:rStyle w:val="StrongEmphasis"/>
        </w:rPr>
        <w:t>Alternative</w:t>
      </w:r>
      <w:r>
        <w:t xml:space="preserve">: </w:t>
      </w:r>
      <w:hyperlink r:id="rId33" w:history="1">
        <w:r w:rsidRPr="00393EB4">
          <w:rPr>
            <w:color w:val="2F5496" w:themeColor="accent1" w:themeShade="BF"/>
            <w:u w:val="single"/>
          </w:rPr>
          <w:t>↑ Asyndeton ↑</w:t>
        </w:r>
      </w:hyperlink>
    </w:p>
    <w:p w14:paraId="6ECE3593" w14:textId="77777777" w:rsidR="006E4315" w:rsidRDefault="00474DB9">
      <w:pPr>
        <w:pStyle w:val="berschrift2"/>
      </w:pPr>
      <w:bookmarkStart w:id="16" w:name="rhetorischefrage"/>
      <w:bookmarkEnd w:id="16"/>
      <w:r>
        <w:lastRenderedPageBreak/>
        <w:t>Rhetorische Frage</w:t>
      </w:r>
    </w:p>
    <w:p w14:paraId="77EA3A84" w14:textId="77777777" w:rsidR="006E4315" w:rsidRDefault="00474DB9">
      <w:pPr>
        <w:pStyle w:val="Textbody"/>
        <w:numPr>
          <w:ilvl w:val="0"/>
          <w:numId w:val="17"/>
        </w:numPr>
        <w:spacing w:after="0"/>
      </w:pPr>
      <w:r>
        <w:rPr>
          <w:rStyle w:val="StrongEmphasis"/>
        </w:rPr>
        <w:t>Übersetzung</w:t>
      </w:r>
      <w:r>
        <w:t xml:space="preserve"> des Begriffs: Frage eines Redners oder in einer Rede gestellte Frage (d.h. keine Frage, die in einem Gespräch gestellt würde und auf die daher eine Antwort erwartet werden kann)</w:t>
      </w:r>
    </w:p>
    <w:p w14:paraId="6FD3CC5E" w14:textId="60B63730" w:rsidR="006E4315" w:rsidRDefault="00474DB9">
      <w:pPr>
        <w:pStyle w:val="Textbody"/>
        <w:numPr>
          <w:ilvl w:val="0"/>
          <w:numId w:val="17"/>
        </w:numPr>
        <w:spacing w:after="0"/>
      </w:pPr>
      <w:r>
        <w:rPr>
          <w:rStyle w:val="StrongEmphasis"/>
        </w:rPr>
        <w:t>Erklärung</w:t>
      </w:r>
      <w:r>
        <w:t xml:space="preserve">: Bei einer rhetorischen Frage wird eine bestimmte Antwort auf die </w:t>
      </w:r>
      <w:r>
        <w:t xml:space="preserve">Frage bereits mit dieser vorgegeben, d.h. der Zuhörer fühlt sich genötigt, eine bestimmte Antwort zu geben. </w:t>
      </w:r>
      <w:r>
        <w:br/>
      </w:r>
      <w:r>
        <w:t xml:space="preserve">Als Zuhörer kann man sich der scheinbaren Selbstverständlichkeit rhetorischer Fragen nur schwer entziehen, da man </w:t>
      </w:r>
      <w:r>
        <w:t>den entsprechenden Gedankenga</w:t>
      </w:r>
      <w:r>
        <w:t xml:space="preserve">ng häufig nicht so schnell durchdringt. </w:t>
      </w:r>
      <w:r>
        <w:br/>
      </w:r>
      <w:r>
        <w:t>Unterschied zur echten Frage: Das Merkmal der echten Frage, nämlich dass verschiedene Antworten möglich sind, ist hier nicht gegeben.</w:t>
      </w:r>
    </w:p>
    <w:p w14:paraId="2B541A13" w14:textId="77777777" w:rsidR="006E4315" w:rsidRDefault="00474DB9">
      <w:pPr>
        <w:pStyle w:val="Textbody"/>
        <w:numPr>
          <w:ilvl w:val="0"/>
          <w:numId w:val="17"/>
        </w:numPr>
        <w:spacing w:after="0"/>
      </w:pPr>
      <w:r>
        <w:rPr>
          <w:rStyle w:val="StrongEmphasis"/>
        </w:rPr>
        <w:t>Beispiel</w:t>
      </w:r>
      <w:r>
        <w:t xml:space="preserve">: </w:t>
      </w:r>
      <w:r>
        <w:br/>
      </w:r>
      <w:proofErr w:type="spellStart"/>
      <w:r>
        <w:t>Num</w:t>
      </w:r>
      <w:proofErr w:type="spellEnd"/>
      <w:r>
        <w:t xml:space="preserve"> </w:t>
      </w:r>
      <w:proofErr w:type="spellStart"/>
      <w:r>
        <w:t>quis</w:t>
      </w:r>
      <w:proofErr w:type="spellEnd"/>
      <w:r>
        <w:t xml:space="preserve"> </w:t>
      </w:r>
      <w:proofErr w:type="spellStart"/>
      <w:r>
        <w:t>vestrum</w:t>
      </w:r>
      <w:proofErr w:type="spellEnd"/>
      <w:r>
        <w:t xml:space="preserve"> ad </w:t>
      </w:r>
      <w:proofErr w:type="spellStart"/>
      <w:r>
        <w:t>vim</w:t>
      </w:r>
      <w:proofErr w:type="spellEnd"/>
      <w:r>
        <w:t xml:space="preserve">, ad </w:t>
      </w:r>
      <w:proofErr w:type="spellStart"/>
      <w:r>
        <w:t>facinus</w:t>
      </w:r>
      <w:proofErr w:type="spellEnd"/>
      <w:r>
        <w:t xml:space="preserve">, ad </w:t>
      </w:r>
      <w:proofErr w:type="spellStart"/>
      <w:r>
        <w:t>caedem</w:t>
      </w:r>
      <w:proofErr w:type="spellEnd"/>
      <w:r>
        <w:t xml:space="preserve"> </w:t>
      </w:r>
      <w:proofErr w:type="spellStart"/>
      <w:r>
        <w:t>accommodatus</w:t>
      </w:r>
      <w:proofErr w:type="spellEnd"/>
      <w:r>
        <w:t xml:space="preserve"> </w:t>
      </w:r>
      <w:proofErr w:type="spellStart"/>
      <w:r>
        <w:t>est</w:t>
      </w:r>
      <w:proofErr w:type="spellEnd"/>
      <w:r>
        <w:t>? Nemo</w:t>
      </w:r>
      <w:r>
        <w:t xml:space="preserve">. (Cicero, De lege </w:t>
      </w:r>
      <w:proofErr w:type="spellStart"/>
      <w:r>
        <w:t>agraria</w:t>
      </w:r>
      <w:proofErr w:type="spellEnd"/>
      <w:r>
        <w:t xml:space="preserve"> 3, 16)</w:t>
      </w:r>
      <w:r>
        <w:br/>
      </w:r>
      <w:r>
        <w:t>Übersetzung: Ist etwa jemand von euch zu einer Gewalttat, zu einem Verbrechen, zu einem Mord bereit? Niemand [ist es]!</w:t>
      </w:r>
    </w:p>
    <w:p w14:paraId="54792258" w14:textId="77777777" w:rsidR="006E4315" w:rsidRDefault="00474DB9">
      <w:pPr>
        <w:pStyle w:val="Textbody"/>
        <w:numPr>
          <w:ilvl w:val="0"/>
          <w:numId w:val="17"/>
        </w:numPr>
      </w:pPr>
      <w:r>
        <w:rPr>
          <w:rStyle w:val="StrongEmphasis"/>
        </w:rPr>
        <w:t>Alternative</w:t>
      </w:r>
      <w:r>
        <w:t>: Statt einer rhetorischen Frage kann die direkte Aussage gewählt werden.</w:t>
      </w:r>
    </w:p>
    <w:p w14:paraId="462762D5" w14:textId="77777777" w:rsidR="006E4315" w:rsidRDefault="00474DB9">
      <w:pPr>
        <w:pStyle w:val="berschrift2"/>
      </w:pPr>
      <w:bookmarkStart w:id="17" w:name="trikolon"/>
      <w:bookmarkEnd w:id="17"/>
      <w:r>
        <w:t>Trikolon</w:t>
      </w:r>
    </w:p>
    <w:p w14:paraId="70076F8D" w14:textId="77777777" w:rsidR="006E4315" w:rsidRDefault="00474DB9">
      <w:pPr>
        <w:pStyle w:val="Textbody"/>
        <w:numPr>
          <w:ilvl w:val="0"/>
          <w:numId w:val="18"/>
        </w:numPr>
        <w:spacing w:after="0"/>
      </w:pPr>
      <w:r>
        <w:rPr>
          <w:rStyle w:val="StrongEmphasis"/>
        </w:rPr>
        <w:t>Ausspra</w:t>
      </w:r>
      <w:r>
        <w:rPr>
          <w:rStyle w:val="StrongEmphasis"/>
        </w:rPr>
        <w:t>che</w:t>
      </w:r>
      <w:r>
        <w:t>: Betonung auf dem i.</w:t>
      </w:r>
    </w:p>
    <w:p w14:paraId="684F5CD2" w14:textId="77777777" w:rsidR="006E4315" w:rsidRDefault="00474DB9">
      <w:pPr>
        <w:pStyle w:val="Textbody"/>
        <w:numPr>
          <w:ilvl w:val="0"/>
          <w:numId w:val="18"/>
        </w:numPr>
        <w:spacing w:after="0"/>
      </w:pPr>
      <w:r>
        <w:rPr>
          <w:rStyle w:val="StrongEmphasis"/>
        </w:rPr>
        <w:t>Übersetzung</w:t>
      </w:r>
      <w:r>
        <w:t xml:space="preserve"> des Begriffs: gr. </w:t>
      </w:r>
      <w:proofErr w:type="spellStart"/>
      <w:r>
        <w:t>τρε</w:t>
      </w:r>
      <w:r>
        <w:t>ῖ</w:t>
      </w:r>
      <w:r>
        <w:t>ς</w:t>
      </w:r>
      <w:proofErr w:type="spellEnd"/>
      <w:r>
        <w:t xml:space="preserve"> (</w:t>
      </w:r>
      <w:proofErr w:type="spellStart"/>
      <w:r>
        <w:t>treis</w:t>
      </w:r>
      <w:proofErr w:type="spellEnd"/>
      <w:r>
        <w:t xml:space="preserve">) = drei; </w:t>
      </w:r>
      <w:proofErr w:type="spellStart"/>
      <w:r>
        <w:t>κ</w:t>
      </w:r>
      <w:r>
        <w:t>ῶ</w:t>
      </w:r>
      <w:r>
        <w:t>λον</w:t>
      </w:r>
      <w:proofErr w:type="spellEnd"/>
      <w:r>
        <w:t xml:space="preserve"> (</w:t>
      </w:r>
      <w:proofErr w:type="spellStart"/>
      <w:r>
        <w:t>kolon</w:t>
      </w:r>
      <w:proofErr w:type="spellEnd"/>
      <w:r>
        <w:t>) = Glied, also dreigliedrige Einheit</w:t>
      </w:r>
    </w:p>
    <w:p w14:paraId="47A8D402" w14:textId="368E1383" w:rsidR="006E4315" w:rsidRDefault="00474DB9">
      <w:pPr>
        <w:pStyle w:val="Textbody"/>
        <w:numPr>
          <w:ilvl w:val="0"/>
          <w:numId w:val="18"/>
        </w:numPr>
        <w:spacing w:after="0"/>
      </w:pPr>
      <w:r>
        <w:rPr>
          <w:rStyle w:val="StrongEmphasis"/>
        </w:rPr>
        <w:t>Erklärung</w:t>
      </w:r>
      <w:r>
        <w:t xml:space="preserve">: Reihung aus drei Gliedern. Das Trikolon ist oft mit dem </w:t>
      </w:r>
      <w:hyperlink r:id="rId34" w:history="1">
        <w:r>
          <w:t xml:space="preserve">↑ Asyndeton ↑ </w:t>
        </w:r>
      </w:hyperlink>
      <w:r>
        <w:t>verbunden. Unter d</w:t>
      </w:r>
      <w:r>
        <w:t>iesem Eintrag gibt es ein weiteres Beispiel für ein Trikolon (veni, vidi, vici). Ferner findet man es in Verbindung mit einem</w:t>
      </w:r>
      <w:hyperlink r:id="rId35" w:history="1">
        <w:r>
          <w:t xml:space="preserve"> </w:t>
        </w:r>
        <w:r w:rsidRPr="00DC5CC5">
          <w:rPr>
            <w:color w:val="2F5496" w:themeColor="accent1" w:themeShade="BF"/>
            <w:u w:val="single"/>
          </w:rPr>
          <w:t>↑ Parallelismus ↑</w:t>
        </w:r>
      </w:hyperlink>
      <w:r>
        <w:t>.</w:t>
      </w:r>
    </w:p>
    <w:p w14:paraId="32DA23E6" w14:textId="77777777" w:rsidR="006E4315" w:rsidRDefault="00474DB9">
      <w:pPr>
        <w:pStyle w:val="Textbody"/>
        <w:numPr>
          <w:ilvl w:val="0"/>
          <w:numId w:val="18"/>
        </w:numPr>
        <w:spacing w:after="0"/>
      </w:pPr>
      <w:r>
        <w:rPr>
          <w:rStyle w:val="StrongEmphasis"/>
        </w:rPr>
        <w:t>Beispiele:</w:t>
      </w:r>
    </w:p>
    <w:p w14:paraId="759FF9DB" w14:textId="2C4D43D4" w:rsidR="006E4315" w:rsidRDefault="00474DB9">
      <w:pPr>
        <w:pStyle w:val="Textbody"/>
        <w:numPr>
          <w:ilvl w:val="1"/>
          <w:numId w:val="18"/>
        </w:numPr>
        <w:spacing w:after="0"/>
      </w:pPr>
      <w:r>
        <w:t xml:space="preserve">per </w:t>
      </w:r>
      <w:proofErr w:type="spellStart"/>
      <w:r>
        <w:t>sidera</w:t>
      </w:r>
      <w:proofErr w:type="spellEnd"/>
      <w:r>
        <w:t xml:space="preserve"> </w:t>
      </w:r>
      <w:proofErr w:type="spellStart"/>
      <w:r>
        <w:t>iuro</w:t>
      </w:r>
      <w:proofErr w:type="spellEnd"/>
      <w:r>
        <w:t>,</w:t>
      </w:r>
      <w:r>
        <w:br/>
      </w:r>
      <w:r>
        <w:t xml:space="preserve">per </w:t>
      </w:r>
      <w:proofErr w:type="spellStart"/>
      <w:r>
        <w:t>superos</w:t>
      </w:r>
      <w:proofErr w:type="spellEnd"/>
      <w:r>
        <w:t xml:space="preserve"> et si qua </w:t>
      </w:r>
      <w:proofErr w:type="spellStart"/>
      <w:r>
        <w:t>fides</w:t>
      </w:r>
      <w:proofErr w:type="spellEnd"/>
      <w:r>
        <w:t xml:space="preserve"> </w:t>
      </w:r>
      <w:proofErr w:type="spellStart"/>
      <w:r>
        <w:t>tellure</w:t>
      </w:r>
      <w:proofErr w:type="spellEnd"/>
      <w:r>
        <w:t xml:space="preserve"> </w:t>
      </w:r>
      <w:proofErr w:type="spellStart"/>
      <w:r>
        <w:t>sub</w:t>
      </w:r>
      <w:proofErr w:type="spellEnd"/>
      <w:r>
        <w:t xml:space="preserve"> </w:t>
      </w:r>
      <w:proofErr w:type="spellStart"/>
      <w:r>
        <w:t>ima</w:t>
      </w:r>
      <w:proofErr w:type="spellEnd"/>
      <w:r>
        <w:t xml:space="preserve"> </w:t>
      </w:r>
      <w:proofErr w:type="spellStart"/>
      <w:r>
        <w:t>est</w:t>
      </w:r>
      <w:proofErr w:type="spellEnd"/>
      <w:r>
        <w:t xml:space="preserve"> </w:t>
      </w:r>
      <w:r>
        <w:t>...</w:t>
      </w:r>
      <w:r>
        <w:br/>
      </w:r>
      <w:r>
        <w:t>(Vergil, Aeneis 6, 458 - 459; Ansprache des Aeneas an Dido in der Unterwelt)</w:t>
      </w:r>
      <w:r>
        <w:br/>
      </w:r>
      <w:r>
        <w:t>Übersetzung: Ich schwöre bei den Sternen, bei den Göttern und so</w:t>
      </w:r>
      <w:r w:rsidR="00DC5CC5">
        <w:t xml:space="preserve"> </w:t>
      </w:r>
      <w:proofErr w:type="spellStart"/>
      <w:r>
        <w:t>wahr</w:t>
      </w:r>
      <w:proofErr w:type="spellEnd"/>
      <w:r>
        <w:t xml:space="preserve"> es irgend Treue gibt tief unter der Erde...</w:t>
      </w:r>
    </w:p>
    <w:p w14:paraId="15413575" w14:textId="77777777" w:rsidR="006E4315" w:rsidRDefault="00474DB9">
      <w:pPr>
        <w:pStyle w:val="Textbody"/>
        <w:numPr>
          <w:ilvl w:val="1"/>
          <w:numId w:val="18"/>
        </w:numPr>
      </w:pPr>
      <w:r>
        <w:t>aus der deutschen Sprache</w:t>
      </w:r>
      <w:r>
        <w:br/>
      </w:r>
      <w:r>
        <w:t xml:space="preserve">„Delikat ist, dass die Zeugen oft </w:t>
      </w:r>
      <w:r>
        <w:t xml:space="preserve">selbst dem kriminellen Milieu angehören - </w:t>
      </w:r>
      <w:r>
        <w:rPr>
          <w:rStyle w:val="StrongEmphasis"/>
        </w:rPr>
        <w:t>Prostituierte, Drogenhändler, Helfer.“</w:t>
      </w:r>
      <w:r>
        <w:t xml:space="preserve"> (Süddeutsche Online, „Zeugenschutz in Deutschland: Wer reden will, bekommt ein neues Leben“, 22.12.2010). Dieses Beispiel ist zugleich ein </w:t>
      </w:r>
      <w:hyperlink r:id="rId36" w:history="1">
        <w:r w:rsidRPr="00393EB4">
          <w:rPr>
            <w:color w:val="2F5496" w:themeColor="accent1" w:themeShade="BF"/>
            <w:u w:val="single"/>
          </w:rPr>
          <w:t>↑ Asynde</w:t>
        </w:r>
        <w:r w:rsidRPr="00393EB4">
          <w:rPr>
            <w:color w:val="2F5496" w:themeColor="accent1" w:themeShade="BF"/>
            <w:u w:val="single"/>
          </w:rPr>
          <w:t>ton ↑</w:t>
        </w:r>
      </w:hyperlink>
      <w:r>
        <w:t>.</w:t>
      </w:r>
    </w:p>
    <w:p w14:paraId="01AC7664" w14:textId="77777777" w:rsidR="006E4315" w:rsidRDefault="00474DB9">
      <w:pPr>
        <w:pStyle w:val="berschrift2"/>
      </w:pPr>
      <w:bookmarkStart w:id="18" w:name="vergleich"/>
      <w:bookmarkEnd w:id="18"/>
      <w:r>
        <w:t>Vergleich</w:t>
      </w:r>
    </w:p>
    <w:p w14:paraId="5046863C" w14:textId="77777777" w:rsidR="006E4315" w:rsidRDefault="00474DB9">
      <w:pPr>
        <w:pStyle w:val="Textbody"/>
        <w:numPr>
          <w:ilvl w:val="0"/>
          <w:numId w:val="19"/>
        </w:numPr>
        <w:spacing w:before="57" w:after="0"/>
      </w:pPr>
      <w:r>
        <w:rPr>
          <w:rStyle w:val="StrongEmphasis"/>
        </w:rPr>
        <w:t>Erklärung</w:t>
      </w:r>
      <w:r>
        <w:t>: Der Vergleich ist ein sprachliches Bild, bei dem der Bildcharakter des Ausdrucks sprachlich gekennzeichnet ist, und zwar durch Ausdrücke wie „wie“, „es war, als ob...“ u. Ä.</w:t>
      </w:r>
      <w:r>
        <w:br/>
      </w:r>
      <w:r>
        <w:lastRenderedPageBreak/>
        <w:t>Lateinische Ausdrücke, die einen Vergleich kennzeichn</w:t>
      </w:r>
      <w:r>
        <w:t xml:space="preserve">en: </w:t>
      </w:r>
      <w:proofErr w:type="spellStart"/>
      <w:r>
        <w:rPr>
          <w:rStyle w:val="Hervorhebung"/>
        </w:rPr>
        <w:t>ita</w:t>
      </w:r>
      <w:proofErr w:type="spellEnd"/>
      <w:r>
        <w:rPr>
          <w:rStyle w:val="Hervorhebung"/>
        </w:rPr>
        <w:t xml:space="preserve"> ..., </w:t>
      </w:r>
      <w:proofErr w:type="spellStart"/>
      <w:r>
        <w:rPr>
          <w:rStyle w:val="Hervorhebung"/>
        </w:rPr>
        <w:t>ut</w:t>
      </w:r>
      <w:proofErr w:type="spellEnd"/>
      <w:r>
        <w:t xml:space="preserve"> [mit Indikativ] / </w:t>
      </w:r>
      <w:proofErr w:type="spellStart"/>
      <w:r>
        <w:rPr>
          <w:rStyle w:val="Hervorhebung"/>
        </w:rPr>
        <w:t>velut</w:t>
      </w:r>
      <w:proofErr w:type="spellEnd"/>
      <w:r>
        <w:rPr>
          <w:rStyle w:val="Hervorhebung"/>
        </w:rPr>
        <w:t xml:space="preserve"> / quasi</w:t>
      </w:r>
      <w:r>
        <w:t xml:space="preserve"> u. Ä. Der Vergleich ist ein wesentliches Merkmal des dichterischen Ausdrucks.</w:t>
      </w:r>
    </w:p>
    <w:p w14:paraId="3C989693" w14:textId="77777777" w:rsidR="006E4315" w:rsidRDefault="00474DB9">
      <w:pPr>
        <w:pStyle w:val="Textbody"/>
        <w:numPr>
          <w:ilvl w:val="0"/>
          <w:numId w:val="19"/>
        </w:numPr>
        <w:spacing w:before="57" w:after="0"/>
      </w:pPr>
      <w:r>
        <w:rPr>
          <w:rStyle w:val="StrongEmphasis"/>
        </w:rPr>
        <w:t>Beispiel</w:t>
      </w:r>
      <w:r>
        <w:rPr>
          <w:rStyle w:val="StrongEmphasis"/>
        </w:rPr>
        <w:br/>
      </w:r>
      <w:r>
        <w:t xml:space="preserve">Sed tu </w:t>
      </w:r>
      <w:proofErr w:type="spellStart"/>
      <w:r>
        <w:t>tuos</w:t>
      </w:r>
      <w:proofErr w:type="spellEnd"/>
      <w:r>
        <w:t xml:space="preserve"> </w:t>
      </w:r>
      <w:proofErr w:type="spellStart"/>
      <w:r>
        <w:t>amicos</w:t>
      </w:r>
      <w:proofErr w:type="spellEnd"/>
      <w:r>
        <w:t xml:space="preserve"> in </w:t>
      </w:r>
      <w:proofErr w:type="spellStart"/>
      <w:r>
        <w:t>provinciam</w:t>
      </w:r>
      <w:proofErr w:type="spellEnd"/>
      <w:r>
        <w:t xml:space="preserve"> quasi in </w:t>
      </w:r>
      <w:proofErr w:type="spellStart"/>
      <w:r>
        <w:t>praedam</w:t>
      </w:r>
      <w:proofErr w:type="spellEnd"/>
      <w:r>
        <w:t xml:space="preserve"> </w:t>
      </w:r>
      <w:proofErr w:type="spellStart"/>
      <w:r>
        <w:t>invitabas</w:t>
      </w:r>
      <w:proofErr w:type="spellEnd"/>
      <w:r>
        <w:t xml:space="preserve">... (Nach Cicero, In </w:t>
      </w:r>
      <w:proofErr w:type="spellStart"/>
      <w:r>
        <w:t>Verrem</w:t>
      </w:r>
      <w:proofErr w:type="spellEnd"/>
      <w:r>
        <w:t xml:space="preserve"> 2, 2, 29)</w:t>
      </w:r>
      <w:r>
        <w:br/>
      </w:r>
      <w:r>
        <w:t>Übersetzung: Aber du has</w:t>
      </w:r>
      <w:r>
        <w:t>t deine Freunde in die Provinz wie auf einen Beutezug eingeladen.</w:t>
      </w:r>
    </w:p>
    <w:p w14:paraId="44D549A9" w14:textId="77777777" w:rsidR="006E4315" w:rsidRDefault="00474DB9">
      <w:pPr>
        <w:pStyle w:val="Textbody"/>
        <w:numPr>
          <w:ilvl w:val="0"/>
          <w:numId w:val="19"/>
        </w:numPr>
        <w:spacing w:before="57" w:after="0"/>
      </w:pPr>
      <w:r>
        <w:rPr>
          <w:rStyle w:val="StrongEmphasis"/>
        </w:rPr>
        <w:t>Alternative</w:t>
      </w:r>
      <w:r>
        <w:t xml:space="preserve">: Die wichtigste Alternative zum Vergleich ist die </w:t>
      </w:r>
      <w:hyperlink r:id="rId37" w:history="1">
        <w:r w:rsidRPr="00393EB4">
          <w:rPr>
            <w:color w:val="2F5496" w:themeColor="accent1" w:themeShade="BF"/>
            <w:u w:val="single"/>
          </w:rPr>
          <w:t>↑ Metapher ↑</w:t>
        </w:r>
      </w:hyperlink>
      <w:r>
        <w:t>.</w:t>
      </w:r>
    </w:p>
    <w:p w14:paraId="4577C471" w14:textId="77777777" w:rsidR="006E4315" w:rsidRDefault="00474DB9">
      <w:pPr>
        <w:pStyle w:val="berschrift1"/>
      </w:pPr>
      <w:bookmarkStart w:id="19" w:name="erklaerung"/>
      <w:bookmarkEnd w:id="19"/>
      <w:r>
        <w:t>Erläuterungen zur Liste der Stilmittel</w:t>
      </w:r>
    </w:p>
    <w:p w14:paraId="1EB7FA0B" w14:textId="77777777" w:rsidR="006E4315" w:rsidRDefault="00474DB9">
      <w:pPr>
        <w:pStyle w:val="Textbody"/>
      </w:pPr>
      <w:r>
        <w:t xml:space="preserve">Zu jedem Stilmittel gibt es folgende </w:t>
      </w:r>
      <w:r>
        <w:t>Angaben:</w:t>
      </w:r>
    </w:p>
    <w:p w14:paraId="13004D6B" w14:textId="77777777" w:rsidR="006E4315" w:rsidRDefault="00474DB9">
      <w:pPr>
        <w:pStyle w:val="Textbody"/>
        <w:numPr>
          <w:ilvl w:val="0"/>
          <w:numId w:val="20"/>
        </w:numPr>
        <w:spacing w:after="0"/>
      </w:pPr>
      <w:r>
        <w:t>Hinweise zur Aussprache (wenn sich die Aussprache nicht von selbst ergibt)</w:t>
      </w:r>
    </w:p>
    <w:p w14:paraId="0DA6B80C" w14:textId="77777777" w:rsidR="006E4315" w:rsidRDefault="00474DB9">
      <w:pPr>
        <w:pStyle w:val="Textbody"/>
        <w:numPr>
          <w:ilvl w:val="0"/>
          <w:numId w:val="20"/>
        </w:numPr>
        <w:spacing w:after="0"/>
      </w:pPr>
      <w:r>
        <w:t>wörtliche Übersetzung des griechischen oder lateinischen Namens des Begriffs</w:t>
      </w:r>
    </w:p>
    <w:p w14:paraId="4FEF6459" w14:textId="77777777" w:rsidR="006E4315" w:rsidRDefault="00474DB9">
      <w:pPr>
        <w:pStyle w:val="Textbody"/>
        <w:numPr>
          <w:ilvl w:val="0"/>
          <w:numId w:val="20"/>
        </w:numPr>
        <w:spacing w:after="0"/>
      </w:pPr>
      <w:r>
        <w:t>Erklärung des Stilmittels</w:t>
      </w:r>
    </w:p>
    <w:p w14:paraId="2DE988D1" w14:textId="77777777" w:rsidR="006E4315" w:rsidRDefault="00474DB9">
      <w:pPr>
        <w:pStyle w:val="Textbody"/>
        <w:numPr>
          <w:ilvl w:val="0"/>
          <w:numId w:val="20"/>
        </w:numPr>
        <w:spacing w:after="0"/>
      </w:pPr>
      <w:r>
        <w:t>Beispiele aus der lateinischen Literatur, teilweise auch aus der deut</w:t>
      </w:r>
      <w:r>
        <w:t>schen Sprache und Literatur.</w:t>
      </w:r>
    </w:p>
    <w:p w14:paraId="733295A3" w14:textId="77777777" w:rsidR="006E4315" w:rsidRDefault="00474DB9">
      <w:pPr>
        <w:pStyle w:val="Textbody"/>
        <w:numPr>
          <w:ilvl w:val="0"/>
          <w:numId w:val="20"/>
        </w:numPr>
      </w:pPr>
      <w:r>
        <w:t>Alternativen: Hier ist gemeint, zu welchen anderen Stilmitteln der jeweilige Begriff im Kontrast steht, d.h. welche anderen Stilmittel (oder auch einfache, wörtliche Aussagen) der Schriftsteller an dieser Stelle hätte wählen kö</w:t>
      </w:r>
      <w:r>
        <w:t>nnen. Die Alternative wird nur bei den Stilmitteln genannt, die in deutlichem Kontrast zu anderen Stilmitteln stehen.</w:t>
      </w:r>
    </w:p>
    <w:p w14:paraId="76A374A4" w14:textId="77777777" w:rsidR="006E4315" w:rsidRDefault="00474DB9">
      <w:pPr>
        <w:pStyle w:val="Textbody"/>
      </w:pPr>
      <w:r>
        <w:t xml:space="preserve">Eine trennscharfe Einteilung der Stilmittel ist kaum möglich. Diese Einteilungen wurden im Laufe der langen Beschäftigung mit den </w:t>
      </w:r>
      <w:r>
        <w:t>Stilmitteln vorgenommen:</w:t>
      </w:r>
    </w:p>
    <w:p w14:paraId="77BE9D1A" w14:textId="77777777" w:rsidR="006E4315" w:rsidRDefault="00474DB9">
      <w:pPr>
        <w:pStyle w:val="Textbody"/>
        <w:numPr>
          <w:ilvl w:val="0"/>
          <w:numId w:val="21"/>
        </w:numPr>
        <w:spacing w:after="0"/>
      </w:pPr>
      <w:r>
        <w:t xml:space="preserve">Als </w:t>
      </w:r>
      <w:r>
        <w:rPr>
          <w:rStyle w:val="Hervorhebung"/>
        </w:rPr>
        <w:t>Tropen</w:t>
      </w:r>
      <w:r>
        <w:t xml:space="preserve"> („Wendungen“) bezeichnet man Stilmittel, die auf der Vertauschung oder Bedeutungsverschiebung eines Wortes oder Ausdrucks beruhen.</w:t>
      </w:r>
    </w:p>
    <w:p w14:paraId="669DF371" w14:textId="77777777" w:rsidR="006E4315" w:rsidRDefault="00474DB9">
      <w:pPr>
        <w:pStyle w:val="Textbody"/>
        <w:numPr>
          <w:ilvl w:val="0"/>
          <w:numId w:val="21"/>
        </w:numPr>
      </w:pPr>
      <w:r>
        <w:t xml:space="preserve">Als </w:t>
      </w:r>
      <w:r>
        <w:rPr>
          <w:rStyle w:val="Hervorhebung"/>
        </w:rPr>
        <w:t>Figuren</w:t>
      </w:r>
      <w:r>
        <w:t xml:space="preserve"> werden Stilmittel bezeichnet, die auf der Verknüpfung </w:t>
      </w:r>
      <w:proofErr w:type="spellStart"/>
      <w:r>
        <w:t>mehrer</w:t>
      </w:r>
      <w:proofErr w:type="spellEnd"/>
      <w:r>
        <w:t xml:space="preserve"> Wörter im Satz </w:t>
      </w:r>
      <w:r>
        <w:t>oder Vers beruhen. Sie können weiter in Wortfiguren und Gedankenfiguren unterteilt werden.</w:t>
      </w:r>
    </w:p>
    <w:p w14:paraId="54911FC6" w14:textId="77777777" w:rsidR="006E4315" w:rsidRDefault="006E4315">
      <w:pPr>
        <w:pStyle w:val="Textbody"/>
      </w:pPr>
    </w:p>
    <w:p w14:paraId="5E7CD415" w14:textId="77777777" w:rsidR="006E4315" w:rsidRDefault="006E4315">
      <w:pPr>
        <w:pStyle w:val="HorizontalLine"/>
      </w:pPr>
    </w:p>
    <w:p w14:paraId="75E10BB5" w14:textId="77777777" w:rsidR="006E4315" w:rsidRDefault="00474DB9">
      <w:pPr>
        <w:pStyle w:val="Textbody"/>
      </w:pPr>
      <w:r>
        <w:t>URL dieses Dokuments:</w:t>
      </w:r>
    </w:p>
    <w:p w14:paraId="558B160A" w14:textId="77777777" w:rsidR="006E4315" w:rsidRPr="00DC5CC5" w:rsidRDefault="00474DB9">
      <w:pPr>
        <w:pStyle w:val="Textbody"/>
        <w:rPr>
          <w:u w:val="single"/>
        </w:rPr>
      </w:pPr>
      <w:hyperlink r:id="rId38" w:history="1">
        <w:r w:rsidRPr="00DC5CC5">
          <w:rPr>
            <w:color w:val="2F5496" w:themeColor="accent1" w:themeShade="BF"/>
            <w:u w:val="single"/>
          </w:rPr>
          <w:t>www.schule-bw.de/faecher-</w:t>
        </w:r>
        <w:r w:rsidRPr="00DC5CC5">
          <w:rPr>
            <w:color w:val="2F5496" w:themeColor="accent1" w:themeShade="BF"/>
            <w:u w:val="single"/>
          </w:rPr>
          <w:t>und-schularten/</w:t>
        </w:r>
        <w:r w:rsidRPr="00DC5CC5">
          <w:rPr>
            <w:color w:val="2F5496" w:themeColor="accent1" w:themeShade="BF"/>
            <w:u w:val="single"/>
          </w:rPr>
          <w:t>s</w:t>
        </w:r>
        <w:r w:rsidRPr="00DC5CC5">
          <w:rPr>
            <w:color w:val="2F5496" w:themeColor="accent1" w:themeShade="BF"/>
            <w:u w:val="single"/>
          </w:rPr>
          <w:t>prachen-und-literatur/latein/sprache/stilmittel</w:t>
        </w:r>
      </w:hyperlink>
    </w:p>
    <w:sectPr w:rsidR="006E4315" w:rsidRPr="00DC5CC5">
      <w:headerReference w:type="even" r:id="rId39"/>
      <w:headerReference w:type="default" r:id="rId40"/>
      <w:footerReference w:type="even" r:id="rId41"/>
      <w:footerReference w:type="default" r:id="rId42"/>
      <w:headerReference w:type="first" r:id="rId43"/>
      <w:footerReference w:type="first" r:id="rId44"/>
      <w:pgSz w:w="11906" w:h="16838"/>
      <w:pgMar w:top="1360" w:right="1020" w:bottom="1360" w:left="1020" w:header="1020" w:footer="1020" w:gutter="0"/>
      <w:cols w:space="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877BA" w14:textId="77777777" w:rsidR="00474DB9" w:rsidRDefault="00474DB9">
      <w:r>
        <w:separator/>
      </w:r>
    </w:p>
  </w:endnote>
  <w:endnote w:type="continuationSeparator" w:id="0">
    <w:p w14:paraId="69C1AF2C" w14:textId="77777777" w:rsidR="00474DB9" w:rsidRDefault="00474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panose1 w:val="05010000000000000000"/>
    <w:charset w:val="00"/>
    <w:family w:val="auto"/>
    <w:pitch w:val="variable"/>
    <w:sig w:usb0="800000AF" w:usb1="1001ECEA" w:usb2="00000000" w:usb3="00000000" w:csb0="8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D0201" w14:textId="77777777" w:rsidR="00296467" w:rsidRDefault="0029646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F30E" w14:textId="77777777" w:rsidR="001E4F71" w:rsidRDefault="00474DB9">
    <w:pPr>
      <w:pStyle w:val="Fuzeile"/>
      <w:widowControl w:val="0"/>
      <w:pBdr>
        <w:top w:val="single" w:sz="12" w:space="1" w:color="000000"/>
      </w:pBdr>
    </w:pPr>
    <w:r>
      <w:rPr>
        <w:sz w:val="18"/>
        <w:szCs w:val="18"/>
      </w:rPr>
      <w:t xml:space="preserve">Diese Materialien sind unter der OER-konformen Lizenz </w:t>
    </w:r>
    <w:hyperlink r:id="rId1" w:history="1">
      <w:r>
        <w:rPr>
          <w:rStyle w:val="Hyperlink"/>
          <w:sz w:val="18"/>
          <w:szCs w:val="18"/>
        </w:rPr>
        <w:t>CC BY 4.0 International</w:t>
      </w:r>
    </w:hyperlink>
    <w:r>
      <w:rPr>
        <w:sz w:val="18"/>
        <w:szCs w:val="18"/>
      </w:rPr>
      <w:t xml:space="preserve"> verfügbar. Herausgeber: Landesbildungsserver Baden-Württemberg (</w:t>
    </w:r>
    <w:hyperlink r:id="rId2" w:history="1">
      <w:r>
        <w:rPr>
          <w:rStyle w:val="Hyperlink"/>
          <w:sz w:val="18"/>
          <w:szCs w:val="18"/>
        </w:rPr>
        <w:t>www.schule-bw.de</w:t>
      </w:r>
    </w:hyperlink>
    <w:r>
      <w:rPr>
        <w:sz w:val="18"/>
        <w:szCs w:val="18"/>
      </w:rPr>
      <w:t xml:space="preserve">), Fachredaktion Latein (auch unter </w:t>
    </w:r>
    <w:hyperlink r:id="rId3" w:history="1">
      <w:r>
        <w:rPr>
          <w:sz w:val="18"/>
          <w:szCs w:val="18"/>
        </w:rPr>
        <w:t>www.latein-bw.de</w:t>
      </w:r>
    </w:hyperlink>
    <w:r>
      <w:rPr>
        <w:sz w:val="18"/>
        <w:szCs w:val="18"/>
      </w:rPr>
      <w:t xml:space="preserve"> zu erreichen). Urheberrechtsangaben gemäß </w:t>
    </w:r>
    <w:hyperlink r:id="rId4" w:history="1">
      <w:r>
        <w:rPr>
          <w:rStyle w:val="Hyperlink"/>
          <w:sz w:val="18"/>
          <w:szCs w:val="18"/>
        </w:rPr>
        <w:t>www.schule-bw.de/urheberrecht</w:t>
      </w:r>
    </w:hyperlink>
    <w:r>
      <w:rPr>
        <w:sz w:val="18"/>
        <w:szCs w:val="18"/>
      </w:rPr>
      <w:t xml:space="preserve"> sind zu beachten. Bitte beachten Sie eventuell abweichende Lizenzangaben b</w:t>
    </w:r>
    <w:r>
      <w:rPr>
        <w:sz w:val="18"/>
        <w:szCs w:val="18"/>
      </w:rPr>
      <w:t>ei den eingebundenen Bildern und anderen Materialien.</w:t>
    </w:r>
  </w:p>
  <w:p w14:paraId="0D7451AE" w14:textId="77777777" w:rsidR="001E4F71" w:rsidRDefault="00474DB9">
    <w:pPr>
      <w:pStyle w:val="Fuzeile"/>
      <w:widowControl w:val="0"/>
      <w:pBdr>
        <w:top w:val="single" w:sz="12" w:space="1" w:color="000000"/>
      </w:pBdr>
      <w:jc w:val="center"/>
    </w:pPr>
    <w:r>
      <w:rPr>
        <w:sz w:val="20"/>
        <w:szCs w:val="16"/>
      </w:rPr>
      <w:t>Seite </w:t>
    </w:r>
    <w:r>
      <w:rPr>
        <w:sz w:val="20"/>
        <w:szCs w:val="16"/>
      </w:rPr>
      <w:fldChar w:fldCharType="begin"/>
    </w:r>
    <w:r>
      <w:rPr>
        <w:sz w:val="20"/>
        <w:szCs w:val="16"/>
      </w:rPr>
      <w:instrText xml:space="preserve"> PAGE \* ARABIC </w:instrText>
    </w:r>
    <w:r>
      <w:rPr>
        <w:sz w:val="20"/>
        <w:szCs w:val="16"/>
      </w:rPr>
      <w:fldChar w:fldCharType="separate"/>
    </w:r>
    <w:r>
      <w:rPr>
        <w:sz w:val="20"/>
        <w:szCs w:val="16"/>
      </w:rPr>
      <w:t>10</w:t>
    </w:r>
    <w:r>
      <w:rPr>
        <w:sz w:val="20"/>
        <w:szCs w:val="16"/>
      </w:rPr>
      <w:fldChar w:fldCharType="end"/>
    </w:r>
    <w:r>
      <w:rPr>
        <w:sz w:val="20"/>
        <w:szCs w:val="16"/>
      </w:rPr>
      <w:t xml:space="preserve"> von </w:t>
    </w:r>
    <w:r>
      <w:rPr>
        <w:sz w:val="20"/>
        <w:szCs w:val="16"/>
      </w:rPr>
      <w:fldChar w:fldCharType="begin"/>
    </w:r>
    <w:r>
      <w:rPr>
        <w:sz w:val="20"/>
        <w:szCs w:val="16"/>
      </w:rPr>
      <w:instrText xml:space="preserve"> NUMPAGES \* ARABIC </w:instrText>
    </w:r>
    <w:r>
      <w:rPr>
        <w:sz w:val="20"/>
        <w:szCs w:val="16"/>
      </w:rPr>
      <w:fldChar w:fldCharType="separate"/>
    </w:r>
    <w:r>
      <w:rPr>
        <w:sz w:val="20"/>
        <w:szCs w:val="16"/>
      </w:rPr>
      <w:t>10</w:t>
    </w:r>
    <w:r>
      <w:rPr>
        <w:sz w:val="2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0D24" w14:textId="77777777" w:rsidR="00296467" w:rsidRDefault="0029646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CBAD" w14:textId="77777777" w:rsidR="00474DB9" w:rsidRDefault="00474DB9">
      <w:r>
        <w:rPr>
          <w:color w:val="000000"/>
        </w:rPr>
        <w:separator/>
      </w:r>
    </w:p>
  </w:footnote>
  <w:footnote w:type="continuationSeparator" w:id="0">
    <w:p w14:paraId="209F2FC9" w14:textId="77777777" w:rsidR="00474DB9" w:rsidRDefault="00474DB9">
      <w:r>
        <w:continuationSeparator/>
      </w:r>
    </w:p>
  </w:footnote>
  <w:footnote w:id="1">
    <w:p w14:paraId="4573D160" w14:textId="77777777" w:rsidR="006E4315" w:rsidRDefault="00474DB9">
      <w:pPr>
        <w:pStyle w:val="Textbody"/>
        <w:spacing w:after="0"/>
      </w:pPr>
      <w:r>
        <w:rPr>
          <w:rStyle w:val="Funotenzeichen"/>
        </w:rPr>
        <w:footnoteRef/>
      </w:r>
      <w:r>
        <w:rPr>
          <w:sz w:val="20"/>
          <w:szCs w:val="20"/>
        </w:rPr>
        <w:t xml:space="preserve"> Quelle: Eintrag Ironie - Glossar Literaturtheorien, </w:t>
      </w:r>
      <w:hyperlink r:id="rId1" w:history="1">
        <w:r>
          <w:rPr>
            <w:sz w:val="20"/>
            <w:szCs w:val="20"/>
          </w:rPr>
          <w:t>Bergische Universität Wuppertal</w:t>
        </w:r>
      </w:hyperlink>
    </w:p>
  </w:footnote>
  <w:footnote w:id="2">
    <w:p w14:paraId="07342A04" w14:textId="71B97682" w:rsidR="006E4315" w:rsidRDefault="00474DB9">
      <w:pPr>
        <w:pStyle w:val="Footnote"/>
      </w:pPr>
      <w:r>
        <w:rPr>
          <w:rStyle w:val="Funotenzeichen"/>
        </w:rPr>
        <w:footnoteRef/>
      </w:r>
      <w:r>
        <w:t xml:space="preserve">Quelle zum Beispiel aus Ovids </w:t>
      </w:r>
      <w:proofErr w:type="spellStart"/>
      <w:r>
        <w:t>MetamorphosenDieses</w:t>
      </w:r>
      <w:proofErr w:type="spellEnd"/>
      <w:r>
        <w:t xml:space="preserve"> Beispiel wurde aus diesem Aufsatz übernommen: Lefèvre, Eckard (1992): Die Bedeutung des Paradoxen in der römischen </w:t>
      </w:r>
      <w:r>
        <w:t>Literatur. In: Paul Geyer (Hrsg.): Das Paradox</w:t>
      </w:r>
      <w:r>
        <w:t xml:space="preserve">: eine Herausforderung des abendländischen Denkens. Tübingen: Stauffenberg-Verl., 1992, S. 209 - 246. Online bei </w:t>
      </w:r>
      <w:hyperlink r:id="rId2" w:history="1">
        <w:proofErr w:type="spellStart"/>
        <w:r w:rsidRPr="00547EBF">
          <w:rPr>
            <w:rStyle w:val="Hyperlink"/>
          </w:rPr>
          <w:t>Freidok.Plus</w:t>
        </w:r>
        <w:proofErr w:type="spellEnd"/>
        <w:r w:rsidRPr="00547EBF">
          <w:rPr>
            <w:rStyle w:val="Hyperlink"/>
          </w:rPr>
          <w:t>/Universitätsbibliothek Freiburg</w:t>
        </w:r>
      </w:hyperlink>
      <w:r>
        <w:t>. In diesem Aufsatz findet man viele weitere Beispiele für Paradoxe in der lateinischen Literatur.</w:t>
      </w:r>
    </w:p>
  </w:footnote>
  <w:footnote w:id="3">
    <w:p w14:paraId="773CA2A2" w14:textId="77777777" w:rsidR="006E4315" w:rsidRDefault="00474DB9">
      <w:pPr>
        <w:pStyle w:val="Footnote"/>
      </w:pPr>
      <w:r>
        <w:rPr>
          <w:rStyle w:val="Funotenzeichen"/>
        </w:rPr>
        <w:footnoteRef/>
      </w:r>
      <w:r>
        <w:t xml:space="preserve">Quelle für den philosophischen Begriff des Paradoxes: Eine Erläuterung des philosophischen </w:t>
      </w:r>
      <w:r>
        <w:t xml:space="preserve">Begriffs findet man in </w:t>
      </w:r>
      <w:r>
        <w:rPr>
          <w:i/>
          <w:iCs/>
        </w:rPr>
        <w:t>Metzlers Philosophielexikon</w:t>
      </w:r>
      <w:r>
        <w:t xml:space="preserve"> unter dem Eintrag </w:t>
      </w:r>
      <w:hyperlink r:id="rId3" w:history="1">
        <w:r w:rsidRPr="00547EBF">
          <w:rPr>
            <w:rStyle w:val="Hyperlink"/>
          </w:rPr>
          <w:t>Paradox</w:t>
        </w:r>
      </w:hyperlink>
      <w:r>
        <w:t xml:space="preserve">. Zum bekannten Lügner-Paradox („Der Kreter sagt: Alle Kreter lügen.“) siehe den Eintrag in der </w:t>
      </w:r>
      <w:r>
        <w:rPr>
          <w:i/>
          <w:iCs/>
        </w:rPr>
        <w:t xml:space="preserve">Stanford Encyclopedia </w:t>
      </w:r>
      <w:proofErr w:type="spellStart"/>
      <w:r>
        <w:rPr>
          <w:i/>
          <w:iCs/>
        </w:rPr>
        <w:t>of</w:t>
      </w:r>
      <w:proofErr w:type="spellEnd"/>
      <w:r>
        <w:rPr>
          <w:i/>
          <w:iCs/>
        </w:rPr>
        <w:t xml:space="preserve"> Philosophy</w:t>
      </w:r>
      <w:r>
        <w:t xml:space="preserve"> (2016): </w:t>
      </w:r>
      <w:hyperlink r:id="rId4" w:history="1">
        <w:proofErr w:type="spellStart"/>
        <w:r w:rsidRPr="00547EBF">
          <w:rPr>
            <w:rStyle w:val="Hyperlink"/>
          </w:rPr>
          <w:t>Liar</w:t>
        </w:r>
        <w:proofErr w:type="spellEnd"/>
        <w:r w:rsidRPr="00547EBF">
          <w:rPr>
            <w:rStyle w:val="Hyperlink"/>
          </w:rPr>
          <w:t xml:space="preserve"> Paradox</w:t>
        </w:r>
      </w:hyperlink>
      <w:r>
        <w:t xml:space="preserve">. Ein Beispiel für ein philosophisches Paradox in der lateinischen Literatur findet man bei Aulus </w:t>
      </w:r>
      <w:proofErr w:type="spellStart"/>
      <w:r>
        <w:t>Gellius</w:t>
      </w:r>
      <w:proofErr w:type="spellEnd"/>
      <w:r>
        <w:t xml:space="preserve"> in der in der </w:t>
      </w:r>
      <w:hyperlink r:id="rId5" w:history="1">
        <w:r w:rsidRPr="00547EBF">
          <w:rPr>
            <w:rStyle w:val="Hyperlink"/>
          </w:rPr>
          <w:t>Gesc</w:t>
        </w:r>
        <w:r w:rsidRPr="00547EBF">
          <w:rPr>
            <w:rStyle w:val="Hyperlink"/>
          </w:rPr>
          <w:t>h</w:t>
        </w:r>
        <w:r w:rsidRPr="00547EBF">
          <w:rPr>
            <w:rStyle w:val="Hyperlink"/>
          </w:rPr>
          <w:t xml:space="preserve">ichte von </w:t>
        </w:r>
        <w:proofErr w:type="spellStart"/>
        <w:r w:rsidRPr="00547EBF">
          <w:rPr>
            <w:rStyle w:val="Hyperlink"/>
          </w:rPr>
          <w:t>Euathlos</w:t>
        </w:r>
        <w:proofErr w:type="spellEnd"/>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79A7E" w14:textId="77777777" w:rsidR="00296467" w:rsidRDefault="0029646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85BE" w14:textId="77777777" w:rsidR="001E4F71" w:rsidRDefault="00474DB9" w:rsidP="00296467">
    <w:pPr>
      <w:pStyle w:val="Kopfzeile"/>
      <w:spacing w:after="240"/>
    </w:pPr>
    <w:r>
      <w:rPr>
        <w:noProof/>
      </w:rPr>
      <w:drawing>
        <wp:anchor distT="0" distB="0" distL="114300" distR="114300" simplePos="0" relativeHeight="251660288" behindDoc="0" locked="0" layoutInCell="1" allowOverlap="1" wp14:anchorId="5689D581" wp14:editId="00D0A429">
          <wp:simplePos x="0" y="0"/>
          <wp:positionH relativeFrom="column">
            <wp:posOffset>4551839</wp:posOffset>
          </wp:positionH>
          <wp:positionV relativeFrom="paragraph">
            <wp:posOffset>-329400</wp:posOffset>
          </wp:positionV>
          <wp:extent cx="1634400" cy="570240"/>
          <wp:effectExtent l="0" t="0" r="3900" b="1260"/>
          <wp:wrapSquare wrapText="bothSides"/>
          <wp:docPr id="1" name="Bild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l="6217" t="13904" r="6409" b="13904"/>
                  <a:stretch>
                    <a:fillRect/>
                  </a:stretch>
                </pic:blipFill>
                <pic:spPr>
                  <a:xfrm>
                    <a:off x="0" y="0"/>
                    <a:ext cx="1634400" cy="570240"/>
                  </a:xfrm>
                  <a:prstGeom prst="rect">
                    <a:avLst/>
                  </a:prstGeom>
                  <a:noFill/>
                  <a:ln>
                    <a:noFill/>
                    <a:prstDash/>
                  </a:ln>
                </pic:spPr>
              </pic:pic>
            </a:graphicData>
          </a:graphic>
        </wp:anchor>
      </w:drawing>
    </w:r>
    <w:r>
      <w:rPr>
        <w:noProof/>
      </w:rPr>
      <w:drawing>
        <wp:anchor distT="0" distB="0" distL="114300" distR="114300" simplePos="0" relativeHeight="251659264" behindDoc="1" locked="0" layoutInCell="1" allowOverlap="1" wp14:anchorId="5F367AC1" wp14:editId="4810315B">
          <wp:simplePos x="0" y="0"/>
          <wp:positionH relativeFrom="column">
            <wp:posOffset>2873880</wp:posOffset>
          </wp:positionH>
          <wp:positionV relativeFrom="paragraph">
            <wp:posOffset>-318240</wp:posOffset>
          </wp:positionV>
          <wp:extent cx="396360" cy="554400"/>
          <wp:effectExtent l="0" t="0" r="3690" b="0"/>
          <wp:wrapNone/>
          <wp:docPr id="2" name="Bild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lum/>
                    <a:alphaModFix/>
                  </a:blip>
                  <a:srcRect/>
                  <a:stretch>
                    <a:fillRect/>
                  </a:stretch>
                </pic:blipFill>
                <pic:spPr>
                  <a:xfrm>
                    <a:off x="0" y="0"/>
                    <a:ext cx="396360" cy="554400"/>
                  </a:xfrm>
                  <a:prstGeom prst="rect">
                    <a:avLst/>
                  </a:prstGeom>
                  <a:noFill/>
                  <a:ln>
                    <a:noFill/>
                    <a:prstDash/>
                  </a:ln>
                </pic:spPr>
              </pic:pic>
            </a:graphicData>
          </a:graphic>
        </wp:anchor>
      </w:drawing>
    </w:r>
    <w:r>
      <w:rPr>
        <w:noProof/>
      </w:rPr>
      <w:drawing>
        <wp:anchor distT="0" distB="0" distL="114300" distR="114300" simplePos="0" relativeHeight="251661312" behindDoc="0" locked="0" layoutInCell="1" allowOverlap="1" wp14:anchorId="30423CF0" wp14:editId="78288499">
          <wp:simplePos x="0" y="0"/>
          <wp:positionH relativeFrom="column">
            <wp:posOffset>-50760</wp:posOffset>
          </wp:positionH>
          <wp:positionV relativeFrom="paragraph">
            <wp:posOffset>-360720</wp:posOffset>
          </wp:positionV>
          <wp:extent cx="1923480" cy="622440"/>
          <wp:effectExtent l="0" t="0" r="570" b="6210"/>
          <wp:wrapSquare wrapText="bothSides"/>
          <wp:docPr id="3" name="Bild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lum/>
                    <a:alphaModFix/>
                  </a:blip>
                  <a:srcRect/>
                  <a:stretch>
                    <a:fillRect/>
                  </a:stretch>
                </pic:blipFill>
                <pic:spPr>
                  <a:xfrm>
                    <a:off x="0" y="0"/>
                    <a:ext cx="1923480" cy="62244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CE1F" w14:textId="77777777" w:rsidR="00296467" w:rsidRDefault="0029646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1B56"/>
    <w:multiLevelType w:val="multilevel"/>
    <w:tmpl w:val="B59805A2"/>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1" w15:restartNumberingAfterBreak="0">
    <w:nsid w:val="033D7118"/>
    <w:multiLevelType w:val="multilevel"/>
    <w:tmpl w:val="D0EA4C4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09FF2B93"/>
    <w:multiLevelType w:val="multilevel"/>
    <w:tmpl w:val="A800868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0AB90F88"/>
    <w:multiLevelType w:val="multilevel"/>
    <w:tmpl w:val="157EC7DC"/>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4" w15:restartNumberingAfterBreak="0">
    <w:nsid w:val="0E615BF5"/>
    <w:multiLevelType w:val="multilevel"/>
    <w:tmpl w:val="253CE0AE"/>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5" w15:restartNumberingAfterBreak="0">
    <w:nsid w:val="114A7AFB"/>
    <w:multiLevelType w:val="multilevel"/>
    <w:tmpl w:val="6BF03C24"/>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6" w15:restartNumberingAfterBreak="0">
    <w:nsid w:val="190A5B4D"/>
    <w:multiLevelType w:val="multilevel"/>
    <w:tmpl w:val="E9C6F8A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1C2B5215"/>
    <w:multiLevelType w:val="multilevel"/>
    <w:tmpl w:val="7E7009CC"/>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8" w15:restartNumberingAfterBreak="0">
    <w:nsid w:val="1CF51CC7"/>
    <w:multiLevelType w:val="multilevel"/>
    <w:tmpl w:val="5606B962"/>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24CA0730"/>
    <w:multiLevelType w:val="multilevel"/>
    <w:tmpl w:val="D332DB56"/>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10" w15:restartNumberingAfterBreak="0">
    <w:nsid w:val="25BA1022"/>
    <w:multiLevelType w:val="multilevel"/>
    <w:tmpl w:val="3AB46D0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29C63E5D"/>
    <w:multiLevelType w:val="multilevel"/>
    <w:tmpl w:val="73BC58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332A034B"/>
    <w:multiLevelType w:val="multilevel"/>
    <w:tmpl w:val="120E2A0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3371396E"/>
    <w:multiLevelType w:val="multilevel"/>
    <w:tmpl w:val="046A9FB2"/>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4" w15:restartNumberingAfterBreak="0">
    <w:nsid w:val="33DB15A2"/>
    <w:multiLevelType w:val="multilevel"/>
    <w:tmpl w:val="452ACD4C"/>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15" w15:restartNumberingAfterBreak="0">
    <w:nsid w:val="38850451"/>
    <w:multiLevelType w:val="multilevel"/>
    <w:tmpl w:val="8EFE2DD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6" w15:restartNumberingAfterBreak="0">
    <w:nsid w:val="42CB2B08"/>
    <w:multiLevelType w:val="multilevel"/>
    <w:tmpl w:val="0BC853B2"/>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17" w15:restartNumberingAfterBreak="0">
    <w:nsid w:val="55777321"/>
    <w:multiLevelType w:val="multilevel"/>
    <w:tmpl w:val="3586ACE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8" w15:restartNumberingAfterBreak="0">
    <w:nsid w:val="56AC4070"/>
    <w:multiLevelType w:val="multilevel"/>
    <w:tmpl w:val="B5D2C1A0"/>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19" w15:restartNumberingAfterBreak="0">
    <w:nsid w:val="669B0A19"/>
    <w:multiLevelType w:val="multilevel"/>
    <w:tmpl w:val="3ECC8DEE"/>
    <w:lvl w:ilvl="0">
      <w:numFmt w:val="bullet"/>
      <w:lvlText w:val="•"/>
      <w:lvlJc w:val="left"/>
      <w:pPr>
        <w:ind w:left="707" w:hanging="283"/>
      </w:pPr>
      <w:rPr>
        <w:rFonts w:ascii="OpenSymbol" w:eastAsia="OpenSymbol" w:hAnsi="OpenSymbol" w:cs="OpenSymbol"/>
      </w:rPr>
    </w:lvl>
    <w:lvl w:ilvl="1">
      <w:start w:val="1"/>
      <w:numFmt w:val="lowerLetter"/>
      <w:lvlText w:val="%2."/>
      <w:lvlJc w:val="left"/>
      <w:pPr>
        <w:ind w:left="1414" w:hanging="283"/>
      </w:pPr>
    </w:lvl>
    <w:lvl w:ilvl="2">
      <w:start w:val="1"/>
      <w:numFmt w:val="lowerLetter"/>
      <w:lvlText w:val="%3."/>
      <w:lvlJc w:val="left"/>
      <w:pPr>
        <w:ind w:left="2121" w:hanging="283"/>
      </w:pPr>
    </w:lvl>
    <w:lvl w:ilvl="3">
      <w:start w:val="1"/>
      <w:numFmt w:val="lowerLetter"/>
      <w:lvlText w:val="%4."/>
      <w:lvlJc w:val="left"/>
      <w:pPr>
        <w:ind w:left="2828" w:hanging="283"/>
      </w:pPr>
    </w:lvl>
    <w:lvl w:ilvl="4">
      <w:start w:val="1"/>
      <w:numFmt w:val="lowerLetter"/>
      <w:lvlText w:val="%5."/>
      <w:lvlJc w:val="left"/>
      <w:pPr>
        <w:ind w:left="3535" w:hanging="283"/>
      </w:pPr>
    </w:lvl>
    <w:lvl w:ilvl="5">
      <w:start w:val="1"/>
      <w:numFmt w:val="lowerLetter"/>
      <w:lvlText w:val="%6."/>
      <w:lvlJc w:val="left"/>
      <w:pPr>
        <w:ind w:left="4242" w:hanging="283"/>
      </w:pPr>
    </w:lvl>
    <w:lvl w:ilvl="6">
      <w:start w:val="1"/>
      <w:numFmt w:val="lowerLetter"/>
      <w:lvlText w:val="%7."/>
      <w:lvlJc w:val="left"/>
      <w:pPr>
        <w:ind w:left="4949" w:hanging="283"/>
      </w:pPr>
    </w:lvl>
    <w:lvl w:ilvl="7">
      <w:start w:val="1"/>
      <w:numFmt w:val="lowerLetter"/>
      <w:lvlText w:val="%8."/>
      <w:lvlJc w:val="left"/>
      <w:pPr>
        <w:ind w:left="5656" w:hanging="283"/>
      </w:pPr>
    </w:lvl>
    <w:lvl w:ilvl="8">
      <w:start w:val="1"/>
      <w:numFmt w:val="lowerLetter"/>
      <w:lvlText w:val="%9."/>
      <w:lvlJc w:val="left"/>
      <w:pPr>
        <w:ind w:left="6363" w:hanging="283"/>
      </w:pPr>
    </w:lvl>
  </w:abstractNum>
  <w:abstractNum w:abstractNumId="20" w15:restartNumberingAfterBreak="0">
    <w:nsid w:val="79A91C38"/>
    <w:multiLevelType w:val="multilevel"/>
    <w:tmpl w:val="8DF6ACD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6"/>
  </w:num>
  <w:num w:numId="2">
    <w:abstractNumId w:val="13"/>
  </w:num>
  <w:num w:numId="3">
    <w:abstractNumId w:val="7"/>
  </w:num>
  <w:num w:numId="4">
    <w:abstractNumId w:val="8"/>
  </w:num>
  <w:num w:numId="5">
    <w:abstractNumId w:val="17"/>
  </w:num>
  <w:num w:numId="6">
    <w:abstractNumId w:val="18"/>
  </w:num>
  <w:num w:numId="7">
    <w:abstractNumId w:val="5"/>
  </w:num>
  <w:num w:numId="8">
    <w:abstractNumId w:val="2"/>
  </w:num>
  <w:num w:numId="9">
    <w:abstractNumId w:val="11"/>
  </w:num>
  <w:num w:numId="10">
    <w:abstractNumId w:val="15"/>
  </w:num>
  <w:num w:numId="11">
    <w:abstractNumId w:val="9"/>
  </w:num>
  <w:num w:numId="12">
    <w:abstractNumId w:val="4"/>
  </w:num>
  <w:num w:numId="13">
    <w:abstractNumId w:val="1"/>
  </w:num>
  <w:num w:numId="14">
    <w:abstractNumId w:val="3"/>
  </w:num>
  <w:num w:numId="15">
    <w:abstractNumId w:val="19"/>
  </w:num>
  <w:num w:numId="16">
    <w:abstractNumId w:val="14"/>
  </w:num>
  <w:num w:numId="17">
    <w:abstractNumId w:val="12"/>
  </w:num>
  <w:num w:numId="18">
    <w:abstractNumId w:val="0"/>
  </w:num>
  <w:num w:numId="19">
    <w:abstractNumId w:val="16"/>
  </w:num>
  <w:num w:numId="20">
    <w:abstractNumId w:val="10"/>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6E4315"/>
    <w:rsid w:val="00296467"/>
    <w:rsid w:val="00393EB4"/>
    <w:rsid w:val="00474DB9"/>
    <w:rsid w:val="00547EBF"/>
    <w:rsid w:val="006E4315"/>
    <w:rsid w:val="007129BA"/>
    <w:rsid w:val="00DC5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93B85"/>
  <w15:docId w15:val="{785E1D9F-37A3-4FFA-9579-8590C3AD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de-DE"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Heading"/>
    <w:next w:val="Textbody"/>
    <w:uiPriority w:val="9"/>
    <w:qFormat/>
    <w:pPr>
      <w:outlineLvl w:val="0"/>
    </w:pPr>
    <w:rPr>
      <w:b/>
      <w:bCs/>
    </w:rPr>
  </w:style>
  <w:style w:type="paragraph" w:styleId="berschrift2">
    <w:name w:val="heading 2"/>
    <w:basedOn w:val="Heading"/>
    <w:next w:val="Textbody"/>
    <w:uiPriority w:val="9"/>
    <w:unhideWhenUsed/>
    <w:qFormat/>
    <w:rsid w:val="00296467"/>
    <w:pPr>
      <w:spacing w:before="200"/>
      <w:outlineLvl w:val="1"/>
    </w:pPr>
    <w:rPr>
      <w:rFonts w:ascii="Liberation Serif" w:eastAsia="NSimSun" w:hAnsi="Liberation Serif"/>
      <w:b/>
      <w:bCs/>
      <w:szCs w:val="36"/>
    </w:rPr>
  </w:style>
  <w:style w:type="paragraph" w:styleId="berschrift3">
    <w:name w:val="heading 3"/>
    <w:basedOn w:val="Heading"/>
    <w:next w:val="Textbody"/>
    <w:uiPriority w:val="9"/>
    <w:unhideWhenUsed/>
    <w:qFormat/>
    <w:pPr>
      <w:spacing w:before="140"/>
      <w:outlineLvl w:val="2"/>
    </w:pPr>
    <w:rPr>
      <w:rFonts w:ascii="Liberation Serif" w:eastAsia="NSimSun" w:hAnsi="Liberation Serif"/>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76" w:lineRule="auto"/>
    </w:pPr>
  </w:style>
  <w:style w:type="paragraph" w:styleId="Liste">
    <w:name w:val="List"/>
    <w:basedOn w:val="Textbody"/>
  </w:style>
  <w:style w:type="paragraph" w:styleId="Beschriftung">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Titel">
    <w:name w:val="Title"/>
    <w:basedOn w:val="Heading"/>
    <w:next w:val="Textbody"/>
    <w:uiPriority w:val="10"/>
    <w:qFormat/>
    <w:pPr>
      <w:jc w:val="center"/>
    </w:pPr>
    <w:rPr>
      <w:b/>
      <w:bCs/>
      <w:sz w:val="56"/>
      <w:szCs w:val="56"/>
    </w:rPr>
  </w:style>
  <w:style w:type="paragraph" w:customStyle="1" w:styleId="HeaderandFooter">
    <w:name w:val="Header and Footer"/>
    <w:basedOn w:val="Standard"/>
    <w:pPr>
      <w:suppressLineNumbers/>
      <w:tabs>
        <w:tab w:val="center" w:pos="4819"/>
        <w:tab w:val="right" w:pos="9638"/>
      </w:tabs>
    </w:pPr>
  </w:style>
  <w:style w:type="paragraph" w:styleId="Kopfzeile">
    <w:name w:val="header"/>
    <w:basedOn w:val="HeaderandFooter"/>
  </w:style>
  <w:style w:type="paragraph" w:styleId="Fuzeile">
    <w:name w:val="footer"/>
    <w:basedOn w:val="HeaderandFooter"/>
  </w:style>
  <w:style w:type="paragraph" w:customStyle="1" w:styleId="TableContents">
    <w:name w:val="Table Contents"/>
    <w:basedOn w:val="Standard"/>
    <w:pPr>
      <w:widowControl w:val="0"/>
      <w:suppressLineNumbers/>
    </w:pPr>
  </w:style>
  <w:style w:type="paragraph" w:customStyle="1" w:styleId="NormaleTabelle1">
    <w:name w:val="Normale Tabelle1"/>
    <w:pPr>
      <w:spacing w:line="360" w:lineRule="auto"/>
      <w:textAlignment w:val="auto"/>
    </w:pPr>
    <w:rPr>
      <w:rFonts w:ascii="Calibri" w:eastAsia="Calibri" w:hAnsi="Calibri" w:cs="Times New Roman"/>
      <w:sz w:val="22"/>
      <w:szCs w:val="22"/>
      <w:lang w:eastAsia="en-US" w:bidi="ar-SA"/>
    </w:rPr>
  </w:style>
  <w:style w:type="paragraph" w:customStyle="1" w:styleId="Tabellenraster1">
    <w:name w:val="Tabellenraster1"/>
    <w:basedOn w:val="NormaleTabelle1"/>
    <w:pPr>
      <w:spacing w:line="240" w:lineRule="auto"/>
    </w:pPr>
  </w:style>
  <w:style w:type="paragraph" w:customStyle="1" w:styleId="TextErlaeuterung">
    <w:name w:val="Text Erlaeuterung"/>
    <w:basedOn w:val="Textbody"/>
    <w:pPr>
      <w:spacing w:line="340" w:lineRule="atLeast"/>
    </w:pPr>
    <w:rPr>
      <w:rFonts w:ascii="Arial" w:eastAsia="Arial" w:hAnsi="Arial" w:cs="Arial"/>
      <w:sz w:val="22"/>
      <w:szCs w:val="22"/>
    </w:rPr>
  </w:style>
  <w:style w:type="paragraph" w:customStyle="1" w:styleId="Vokabelangabe">
    <w:name w:val="Vokabelangabe"/>
    <w:basedOn w:val="Standard"/>
    <w:autoRedefine/>
    <w:pPr>
      <w:ind w:left="284" w:hanging="284"/>
    </w:pPr>
    <w:rPr>
      <w:sz w:val="20"/>
      <w:szCs w:val="20"/>
    </w:rPr>
  </w:style>
  <w:style w:type="paragraph" w:customStyle="1" w:styleId="Footnote">
    <w:name w:val="Footnote"/>
    <w:basedOn w:val="Standard"/>
    <w:pPr>
      <w:suppressLineNumbers/>
      <w:ind w:left="339" w:hanging="339"/>
    </w:pPr>
    <w:rPr>
      <w:sz w:val="20"/>
      <w:szCs w:val="20"/>
    </w:rPr>
  </w:style>
  <w:style w:type="paragraph" w:customStyle="1" w:styleId="HorizontalLine">
    <w:name w:val="Horizontal Line"/>
    <w:basedOn w:val="Standard"/>
    <w:next w:val="Textbody"/>
    <w:pPr>
      <w:suppressLineNumbers/>
      <w:spacing w:after="283"/>
    </w:pPr>
    <w:rPr>
      <w:sz w:val="12"/>
      <w:szCs w:val="12"/>
    </w:rPr>
  </w:style>
  <w:style w:type="character" w:styleId="Hyperlink">
    <w:name w:val="Hyperlink"/>
    <w:basedOn w:val="Absatz-Standardschriftart"/>
    <w:rPr>
      <w:color w:val="0000FF"/>
      <w:u w:val="single"/>
    </w:rPr>
  </w:style>
  <w:style w:type="character" w:customStyle="1" w:styleId="Internetlink">
    <w:name w:val="Internet link"/>
    <w:rPr>
      <w:color w:val="000080"/>
      <w:u w:val="single"/>
      <w:lang/>
    </w:rPr>
  </w:style>
  <w:style w:type="character" w:customStyle="1" w:styleId="VisitedInternetLink">
    <w:name w:val="Visited Internet Link"/>
    <w:rPr>
      <w:color w:val="800000"/>
      <w:u w:val="single"/>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BulletSymbols">
    <w:name w:val="Bullet Symbols"/>
    <w:rPr>
      <w:rFonts w:ascii="OpenSymbol" w:eastAsia="OpenSymbol" w:hAnsi="OpenSymbol" w:cs="OpenSymbol"/>
    </w:rPr>
  </w:style>
  <w:style w:type="character" w:styleId="Hervorhebung">
    <w:name w:val="Emphasis"/>
    <w:rPr>
      <w:i/>
      <w:iCs/>
    </w:rPr>
  </w:style>
  <w:style w:type="character" w:customStyle="1" w:styleId="StrongEmphasis">
    <w:name w:val="Strong Emphasis"/>
    <w:rPr>
      <w:b/>
      <w:bCs/>
    </w:rPr>
  </w:style>
  <w:style w:type="character" w:customStyle="1" w:styleId="NumberingSymbols">
    <w:name w:val="Numbering Symbols"/>
  </w:style>
  <w:style w:type="character" w:styleId="Funotenzeichen">
    <w:name w:val="footnote reference"/>
    <w:basedOn w:val="Absatz-Standardschriftart"/>
    <w:uiPriority w:val="99"/>
    <w:semiHidden/>
    <w:unhideWhenUsed/>
    <w:rPr>
      <w:vertAlign w:val="superscript"/>
    </w:rPr>
  </w:style>
  <w:style w:type="character" w:styleId="NichtaufgelsteErwhnung">
    <w:name w:val="Unresolved Mention"/>
    <w:basedOn w:val="Absatz-Standardschriftart"/>
    <w:uiPriority w:val="99"/>
    <w:semiHidden/>
    <w:unhideWhenUsed/>
    <w:rsid w:val="00547EBF"/>
    <w:rPr>
      <w:color w:val="605E5C"/>
      <w:shd w:val="clear" w:color="auto" w:fill="E1DFDD"/>
    </w:rPr>
  </w:style>
  <w:style w:type="character" w:styleId="BesuchterLink">
    <w:name w:val="FollowedHyperlink"/>
    <w:basedOn w:val="Absatz-Standardschriftart"/>
    <w:uiPriority w:val="99"/>
    <w:semiHidden/>
    <w:unhideWhenUsed/>
    <w:rsid w:val="00547EB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parallelismus" TargetMode="External"/><Relationship Id="rId18" Type="http://schemas.openxmlformats.org/officeDocument/2006/relationships/hyperlink" Target="http://de.wikipedia.org/wiki/Veni_vidi_vici" TargetMode="External"/><Relationship Id="rId26" Type="http://schemas.openxmlformats.org/officeDocument/2006/relationships/hyperlink" Target="https://www.spektrum.de/lexikon/philosophie/ironie/1011" TargetMode="External"/><Relationship Id="rId39" Type="http://schemas.openxmlformats.org/officeDocument/2006/relationships/header" Target="header1.xml"/><Relationship Id="rId21" Type="http://schemas.openxmlformats.org/officeDocument/2006/relationships/hyperlink" Target="#metonymie" TargetMode="External"/><Relationship Id="rId34" Type="http://schemas.openxmlformats.org/officeDocument/2006/relationships/hyperlink" Target="#asyndeton" TargetMode="External"/><Relationship Id="rId42" Type="http://schemas.openxmlformats.org/officeDocument/2006/relationships/footer" Target="footer2.xml"/><Relationship Id="rId7" Type="http://schemas.openxmlformats.org/officeDocument/2006/relationships/hyperlink" Target="#erklaerung" TargetMode="External"/><Relationship Id="rId2" Type="http://schemas.openxmlformats.org/officeDocument/2006/relationships/styles" Target="styles.xml"/><Relationship Id="rId16" Type="http://schemas.openxmlformats.org/officeDocument/2006/relationships/hyperlink" Target="#trikolon" TargetMode="External"/><Relationship Id="rId29" Type="http://schemas.openxmlformats.org/officeDocument/2006/relationships/hyperlink" Target="http://de.wikipedia.org/wiki/Sine_Cerere_et_Baccho_friget_Venu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chule-bw.de/resolveuid/9eb9c781dd3f475785f630b8514d94c8" TargetMode="External"/><Relationship Id="rId24" Type="http://schemas.openxmlformats.org/officeDocument/2006/relationships/hyperlink" Target="#vergleich" TargetMode="External"/><Relationship Id="rId32" Type="http://schemas.openxmlformats.org/officeDocument/2006/relationships/hyperlink" Target="#antithese" TargetMode="External"/><Relationship Id="rId37" Type="http://schemas.openxmlformats.org/officeDocument/2006/relationships/hyperlink" Target="#metapher"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trikolon" TargetMode="External"/><Relationship Id="rId23" Type="http://schemas.openxmlformats.org/officeDocument/2006/relationships/image" Target="media/image1.png"/><Relationship Id="rId28" Type="http://schemas.openxmlformats.org/officeDocument/2006/relationships/hyperlink" Target="#vergleich" TargetMode="External"/><Relationship Id="rId36" Type="http://schemas.openxmlformats.org/officeDocument/2006/relationships/hyperlink" Target="#asyndeton" TargetMode="External"/><Relationship Id="rId10" Type="http://schemas.openxmlformats.org/officeDocument/2006/relationships/hyperlink" Target="https://www.schule-bw.de/resolveuid/82cdac536a8744608d039af362bbd495" TargetMode="External"/><Relationship Id="rId19" Type="http://schemas.openxmlformats.org/officeDocument/2006/relationships/hyperlink" Target="#polysyndeton" TargetMode="External"/><Relationship Id="rId31" Type="http://schemas.openxmlformats.org/officeDocument/2006/relationships/hyperlink" Target="#chiasmus"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schule-bw.de/resolveuid/7cfd6e38b6a44d9ba67a4601592accd5" TargetMode="External"/><Relationship Id="rId14" Type="http://schemas.openxmlformats.org/officeDocument/2006/relationships/hyperlink" Target="https://www.schule-bw.de/resolveuid/c2d4a82e17a8476e9d671019aea173cb#auftrag" TargetMode="External"/><Relationship Id="rId22" Type="http://schemas.openxmlformats.org/officeDocument/2006/relationships/hyperlink" Target="#vergleich" TargetMode="External"/><Relationship Id="rId27" Type="http://schemas.openxmlformats.org/officeDocument/2006/relationships/image" Target="media/image2.png"/><Relationship Id="rId30" Type="http://schemas.openxmlformats.org/officeDocument/2006/relationships/hyperlink" Target="#antithese" TargetMode="External"/><Relationship Id="rId35" Type="http://schemas.openxmlformats.org/officeDocument/2006/relationships/hyperlink" Target="#parallelismus" TargetMode="External"/><Relationship Id="rId43" Type="http://schemas.openxmlformats.org/officeDocument/2006/relationships/header" Target="header3.xml"/><Relationship Id="rId8" Type="http://schemas.openxmlformats.org/officeDocument/2006/relationships/hyperlink" Target="https://www.schule-bw.de/resolveuid/57936f1a9556474f95b7bc1d44bc502a" TargetMode="External"/><Relationship Id="rId3" Type="http://schemas.openxmlformats.org/officeDocument/2006/relationships/settings" Target="settings.xml"/><Relationship Id="rId12" Type="http://schemas.openxmlformats.org/officeDocument/2006/relationships/hyperlink" Target="#assonanz" TargetMode="External"/><Relationship Id="rId17" Type="http://schemas.openxmlformats.org/officeDocument/2006/relationships/hyperlink" Target="#trikolon" TargetMode="External"/><Relationship Id="rId25" Type="http://schemas.openxmlformats.org/officeDocument/2006/relationships/hyperlink" Target="#metapher" TargetMode="External"/><Relationship Id="rId33" Type="http://schemas.openxmlformats.org/officeDocument/2006/relationships/hyperlink" Target="#asyndeton" TargetMode="External"/><Relationship Id="rId38" Type="http://schemas.openxmlformats.org/officeDocument/2006/relationships/hyperlink" Target="https://www.schule-bw.de/faecher-und-schularten/sprachen-und-literatur/latein/sprache/stilmittel" TargetMode="External"/><Relationship Id="rId46" Type="http://schemas.openxmlformats.org/officeDocument/2006/relationships/theme" Target="theme/theme1.xml"/><Relationship Id="rId20" Type="http://schemas.openxmlformats.org/officeDocument/2006/relationships/hyperlink" Target="#metapher" TargetMode="External"/><Relationship Id="rId41"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www.latein-bw.de/" TargetMode="External"/><Relationship Id="rId2" Type="http://schemas.openxmlformats.org/officeDocument/2006/relationships/hyperlink" Target="https://www.schule-bw.de/" TargetMode="External"/><Relationship Id="rId1" Type="http://schemas.openxmlformats.org/officeDocument/2006/relationships/hyperlink" Target="https://creativecommons.org/licenses/by/4.0/legalcode" TargetMode="External"/><Relationship Id="rId4" Type="http://schemas.openxmlformats.org/officeDocument/2006/relationships/hyperlink" Target="https://www.schule-bw.de/urheberrech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spektrum.de/lexikon/philosophie/paradoxie-paradox/1523" TargetMode="External"/><Relationship Id="rId2" Type="http://schemas.openxmlformats.org/officeDocument/2006/relationships/hyperlink" Target="https://freidok.uni-freiburg.de/data/5186" TargetMode="External"/><Relationship Id="rId1" Type="http://schemas.openxmlformats.org/officeDocument/2006/relationships/hyperlink" Target="https://www.literaturtheorien.uni-wuppertal.de/index.php?id=463&amp;L=0#c1126" TargetMode="External"/><Relationship Id="rId5" Type="http://schemas.openxmlformats.org/officeDocument/2006/relationships/hyperlink" Target="https://www.schule-bw.de/resolveuid/8432eeedd41c4855b34c975cdc76ac91" TargetMode="External"/><Relationship Id="rId4" Type="http://schemas.openxmlformats.org/officeDocument/2006/relationships/hyperlink" Target="https://plato.stanford.edu/entries/liar-paradox/"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2443</Words>
  <Characters>15391</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Lateinische Stilmittel</vt:lpstr>
    </vt:vector>
  </TitlesOfParts>
  <Company/>
  <LinksUpToDate>false</LinksUpToDate>
  <CharactersWithSpaces>17799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Lateinische Stilmittel</dc:title>
  <cp:lastModifiedBy>Tilman Bechthold-Hengelhaupt</cp:lastModifiedBy>
  <cp:revision>6</cp:revision>
  <dcterms:created xsi:type="dcterms:W3CDTF">2022-03-27T10:37:00Z</dcterms:created>
  <dcterms:modified xsi:type="dcterms:W3CDTF">2022-03-27T10:55:00Z</dcterms:modified>
</cp:coreProperties>
</file>