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3E0C3E">
        <w:rPr>
          <w:sz w:val="52"/>
        </w:rPr>
        <w:t>S</w:t>
      </w:r>
      <w:r w:rsidR="00387F20">
        <w:rPr>
          <w:sz w:val="52"/>
        </w:rPr>
        <w:t>13 - Elitenförderung</w:t>
      </w:r>
    </w:p>
    <w:p w:rsidR="003A587E" w:rsidRDefault="003A587E"/>
    <w:p w:rsidR="003A587E" w:rsidRPr="00942157" w:rsidRDefault="00387F20">
      <w:pPr>
        <w:rPr>
          <w:i/>
        </w:rPr>
      </w:pPr>
      <w:r>
        <w:rPr>
          <w:i/>
        </w:rPr>
        <w:t>Schwierigkeitsstufe sehr hoch</w:t>
      </w:r>
    </w:p>
    <w:p w:rsidR="003A587E" w:rsidRDefault="003A587E"/>
    <w:p w:rsidR="009E4F60" w:rsidRPr="00A61C87" w:rsidRDefault="00387F20">
      <w:pPr>
        <w:rPr>
          <w:b/>
        </w:rPr>
      </w:pPr>
      <w:r w:rsidRPr="00A61C87">
        <w:rPr>
          <w:b/>
        </w:rPr>
        <w:t>Berufliche Handlungssituation</w:t>
      </w:r>
    </w:p>
    <w:p w:rsidR="003A587E" w:rsidRDefault="003A587E"/>
    <w:p w:rsidR="00A61C87" w:rsidRPr="00A61C87" w:rsidRDefault="00A61C87">
      <w:pPr>
        <w:rPr>
          <w:u w:val="single"/>
        </w:rPr>
      </w:pPr>
      <w:r w:rsidRPr="00A61C87">
        <w:rPr>
          <w:u w:val="single"/>
        </w:rPr>
        <w:t>Fall:</w:t>
      </w:r>
    </w:p>
    <w:p w:rsidR="00A61C87" w:rsidRDefault="00A61C87"/>
    <w:p w:rsidR="003A587E" w:rsidRDefault="00387F20">
      <w:r>
        <w:t xml:space="preserve">Ein Kunde von Ihnen kommt mit dem nachfolgenden Artikel des Hamburger Abendblatts zu Ihrem Beratungstermin. Er möchte sich </w:t>
      </w:r>
      <w:r w:rsidR="00A61C87">
        <w:t>bei</w:t>
      </w:r>
      <w:r>
        <w:t xml:space="preserve"> Ihnen über den Inhalt des Artikels </w:t>
      </w:r>
      <w:r w:rsidR="00A61C87">
        <w:t>informieren und beraten lassen</w:t>
      </w:r>
      <w:r>
        <w:t>. Er hat insbesondere folgende Fragen an Sie:</w:t>
      </w:r>
    </w:p>
    <w:p w:rsidR="003A587E" w:rsidRDefault="003A587E"/>
    <w:p w:rsidR="009E4F60" w:rsidRDefault="00387F20" w:rsidP="00387F20">
      <w:pPr>
        <w:pStyle w:val="Listenabsatz"/>
        <w:numPr>
          <w:ilvl w:val="0"/>
          <w:numId w:val="2"/>
        </w:numPr>
      </w:pPr>
      <w:r>
        <w:t>Was versteht man unter einem Aktienrückkauf?</w:t>
      </w:r>
    </w:p>
    <w:p w:rsidR="009E4F60" w:rsidRDefault="009E4F60"/>
    <w:p w:rsidR="009E4F60" w:rsidRDefault="00387F20" w:rsidP="00387F20">
      <w:pPr>
        <w:pStyle w:val="Listenabsatz"/>
        <w:numPr>
          <w:ilvl w:val="0"/>
          <w:numId w:val="2"/>
        </w:numPr>
      </w:pPr>
      <w:r>
        <w:t>Weshalb kaufen Unternehmen eigene Aktien zurück?</w:t>
      </w:r>
    </w:p>
    <w:p w:rsidR="009E4F60" w:rsidRDefault="009E4F60"/>
    <w:p w:rsidR="009E4F60" w:rsidRDefault="00A61C87" w:rsidP="00387F20">
      <w:pPr>
        <w:pStyle w:val="Listenabsatz"/>
        <w:numPr>
          <w:ilvl w:val="0"/>
          <w:numId w:val="2"/>
        </w:numPr>
      </w:pPr>
      <w:r>
        <w:t>Wie beurteilen Sie den Ertrag der Apple-Aktie?</w:t>
      </w:r>
    </w:p>
    <w:p w:rsidR="00387F20" w:rsidRDefault="00387F20"/>
    <w:p w:rsidR="00387F20" w:rsidRDefault="00A61C87" w:rsidP="00A61C87">
      <w:pPr>
        <w:pStyle w:val="Listenabsatz"/>
        <w:numPr>
          <w:ilvl w:val="0"/>
          <w:numId w:val="2"/>
        </w:numPr>
      </w:pPr>
      <w:r>
        <w:t>Würden Sie eine Geldanlage in Apple-Aktien empfehlen?</w:t>
      </w:r>
    </w:p>
    <w:p w:rsidR="00387F20" w:rsidRDefault="00387F20"/>
    <w:p w:rsidR="00387F20" w:rsidRDefault="00387F20"/>
    <w:p w:rsidR="009E4F60" w:rsidRDefault="009E4F60">
      <w:pPr>
        <w:rPr>
          <w:u w:val="single"/>
        </w:rPr>
      </w:pPr>
      <w:r w:rsidRPr="009E4F60">
        <w:rPr>
          <w:u w:val="single"/>
        </w:rPr>
        <w:t>Aufgabe:</w:t>
      </w:r>
    </w:p>
    <w:p w:rsidR="00A61C87" w:rsidRPr="009E4F60" w:rsidRDefault="00A61C87">
      <w:pPr>
        <w:rPr>
          <w:u w:val="single"/>
        </w:rPr>
      </w:pPr>
    </w:p>
    <w:p w:rsidR="009E4F60" w:rsidRDefault="00A61C87" w:rsidP="009E4F60">
      <w:pPr>
        <w:pStyle w:val="Listenabsatz"/>
        <w:numPr>
          <w:ilvl w:val="0"/>
          <w:numId w:val="1"/>
        </w:numPr>
      </w:pPr>
      <w:r>
        <w:t>Beantworten Sie bitte die obigen Fragen.</w:t>
      </w:r>
    </w:p>
    <w:p w:rsidR="00A61C87" w:rsidRDefault="00A61C87" w:rsidP="00A61C87">
      <w:pPr>
        <w:pStyle w:val="Listenabsatz"/>
        <w:ind w:left="360"/>
      </w:pPr>
    </w:p>
    <w:p w:rsidR="009E4F60" w:rsidRDefault="00A61C87" w:rsidP="009E4F60">
      <w:pPr>
        <w:pStyle w:val="Listenabsatz"/>
        <w:numPr>
          <w:ilvl w:val="0"/>
          <w:numId w:val="1"/>
        </w:numPr>
      </w:pPr>
      <w:r>
        <w:t>Machen Sie eine ausführliche Analyse der Apple-Aktie mit Fundamentaldaten und einer Chart-Analyse.</w:t>
      </w:r>
    </w:p>
    <w:p w:rsidR="009E4F60" w:rsidRDefault="009E4F60"/>
    <w:p w:rsidR="00A61C87" w:rsidRPr="00A61C87" w:rsidRDefault="00A61C87">
      <w:pPr>
        <w:rPr>
          <w:u w:val="single"/>
        </w:rPr>
      </w:pPr>
      <w:r w:rsidRPr="00A61C87">
        <w:rPr>
          <w:u w:val="single"/>
        </w:rPr>
        <w:t>Hinweis:</w:t>
      </w:r>
    </w:p>
    <w:p w:rsidR="00A61C87" w:rsidRDefault="00A61C87"/>
    <w:p w:rsidR="00A61C87" w:rsidRDefault="00A61C87" w:rsidP="00A61C87">
      <w:r>
        <w:t>Informieren Sie sich bitte anhand der beiliegenden Texte und im Internet.</w:t>
      </w:r>
    </w:p>
    <w:p w:rsidR="00A61C87" w:rsidRDefault="00A61C87"/>
    <w:p w:rsidR="00A61C87" w:rsidRDefault="00A61C87"/>
    <w:p w:rsidR="00450AC4" w:rsidRDefault="00450AC4"/>
    <w:p w:rsidR="00450AC4" w:rsidRDefault="00450AC4"/>
    <w:p w:rsidR="00450AC4" w:rsidRDefault="00CD4A6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E45284" wp14:editId="6F3E6173">
                <wp:simplePos x="0" y="0"/>
                <wp:positionH relativeFrom="column">
                  <wp:posOffset>248285</wp:posOffset>
                </wp:positionH>
                <wp:positionV relativeFrom="paragraph">
                  <wp:posOffset>24765</wp:posOffset>
                </wp:positionV>
                <wp:extent cx="5358765" cy="882015"/>
                <wp:effectExtent l="0" t="0" r="13335" b="1333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8765" cy="882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A6A" w:rsidRPr="00450AC4" w:rsidRDefault="00CD4A6A" w:rsidP="00CD4A6A">
                            <w:pPr>
                              <w:rPr>
                                <w:sz w:val="20"/>
                              </w:rPr>
                            </w:pPr>
                            <w:r w:rsidRPr="00450AC4">
                              <w:rPr>
                                <w:sz w:val="20"/>
                              </w:rPr>
                              <w:t>Hamburger Abendblatt vom 19.03.2012</w:t>
                            </w:r>
                          </w:p>
                          <w:p w:rsidR="00CD4A6A" w:rsidRDefault="00CD4A6A" w:rsidP="00CD4A6A"/>
                          <w:p w:rsidR="00CD4A6A" w:rsidRPr="00CD4A6A" w:rsidRDefault="00CD4A6A" w:rsidP="00CD4A6A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Apple zahlt Dividende und kündigt Aktienrückkauf an</w:t>
                            </w:r>
                          </w:p>
                          <w:p w:rsidR="00CD4A6A" w:rsidRDefault="00CD4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9.55pt;margin-top:1.95pt;width:421.95pt;height:69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WKWlAIAALIFAAAOAAAAZHJzL2Uyb0RvYy54bWysVEtPGzEQvlfqf7B8bzaBBNKIDUqDUlVC&#10;gAoVZ8drEwvb49pOdtNfz9i7eUC5UPWyO/Z88/o8MxeXjdFkI3xQYEs66PUpEZZDpexTSX89LL6M&#10;KQmR2YppsKKkWxHo5fTzp4vaTcQJrEBXwhN0YsOkdiVdxegmRRH4ShgWeuCERaUEb1jEo38qKs9q&#10;9G50cdLvnxU1+Mp54CIEvL1qlXSa/UspeLyVMohIdEkxt5i/Pn+X6VtML9jkyTO3UrxLg/1DFoYp&#10;i0H3rq5YZGTt1V+ujOIeAsjY42AKkFJxkWvAagb9N9Xcr5gTuRYkJ7g9TeH/ueU3mztPVFXSISWW&#10;GXyiB9FEKXRFhomd2oUJgu4dwmLzDRp85d19wMtUdCO9SX8sh6Aeed7uuUVnhOPl6HQ0Pj8bUcJR&#10;Nx5jtaPkpjhYOx/idwGGJKGkHt8uU8o21yG20B0kBQugVbVQWudD6hcx155sGL60jjlHdP4KpS2p&#10;S3p2Oupnx690yfXefqkZf+7SO0KhP21TOJE7q0srMdQykaW41SJhtP0pJDKbCXknR8a5sPs8Mzqh&#10;JFb0EcMOf8jqI8ZtHWiRI4ONe2OjLPiWpdfUVs87amWLxzc8qjuJsVk2Xecsodpi43hoBy84vlBI&#10;9DUL8Y55nDTsFdwe8RY/UgO+DnQSJSvwf967T3gcANRSUuPkljT8XjMvKNE/LI7G18FwmEY9H4aj&#10;8xM8+GPN8lhj12YO2DID3FOOZzHho96J0oN5xCUzS1FRxSzH2CWNO3Ee232CS4qL2SyDcLgdi9f2&#10;3vHkOtGbGuyheWTedQ0ecTRuYDfjbPKmz1tssrQwW0eQKg9BIrhltSMeF0Meo26Jpc1zfM6ow6qd&#10;vgAAAP//AwBQSwMEFAAGAAgAAAAhAILQzcXbAAAACAEAAA8AAABkcnMvZG93bnJldi54bWxMj8FO&#10;wzAQRO9I/IO1SNyo0xYhN41TASpcONEiztvYta3GdmS7afh7tic4rUbzNDvTbCbfs1Gn7GKQMJ9V&#10;wHToonLBSPjavz0IYLlgUNjHoCX86Ayb9vamwVrFS/jU464YRiEh1yjBljLUnOfOao95FgcdyDvG&#10;5LGQTIarhBcK9z1fVNUT9+gCfbA46Feru9Pu7CVsX8zKdAKT3Qrl3Dh9Hz/Mu5T3d9PzGljRU/mD&#10;4VqfqkNLnQ7xHFRmvYTlak7k9QIjW4glTTsQ97gQwNuG/x/Q/gIAAP//AwBQSwECLQAUAAYACAAA&#10;ACEAtoM4kv4AAADhAQAAEwAAAAAAAAAAAAAAAAAAAAAAW0NvbnRlbnRfVHlwZXNdLnhtbFBLAQIt&#10;ABQABgAIAAAAIQA4/SH/1gAAAJQBAAALAAAAAAAAAAAAAAAAAC8BAABfcmVscy8ucmVsc1BLAQIt&#10;ABQABgAIAAAAIQDq6WKWlAIAALIFAAAOAAAAAAAAAAAAAAAAAC4CAABkcnMvZTJvRG9jLnhtbFBL&#10;AQItABQABgAIAAAAIQCC0M3F2wAAAAgBAAAPAAAAAAAAAAAAAAAAAO4EAABkcnMvZG93bnJldi54&#10;bWxQSwUGAAAAAAQABADzAAAA9gUAAAAA&#10;" fillcolor="white [3201]" strokeweight=".5pt">
                <v:textbox>
                  <w:txbxContent>
                    <w:p w:rsidR="00CD4A6A" w:rsidRPr="00450AC4" w:rsidRDefault="00CD4A6A" w:rsidP="00CD4A6A">
                      <w:pPr>
                        <w:rPr>
                          <w:sz w:val="20"/>
                        </w:rPr>
                      </w:pPr>
                      <w:r w:rsidRPr="00450AC4">
                        <w:rPr>
                          <w:sz w:val="20"/>
                        </w:rPr>
                        <w:t>Hamburger Abendblatt vom 19.03.2012</w:t>
                      </w:r>
                    </w:p>
                    <w:p w:rsidR="00CD4A6A" w:rsidRDefault="00CD4A6A" w:rsidP="00CD4A6A"/>
                    <w:p w:rsidR="00CD4A6A" w:rsidRPr="00CD4A6A" w:rsidRDefault="00CD4A6A" w:rsidP="00CD4A6A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Apple zahlt Dividende und kündigt Aktienrückkauf an</w:t>
                      </w:r>
                    </w:p>
                    <w:p w:rsidR="00CD4A6A" w:rsidRDefault="00CD4A6A"/>
                  </w:txbxContent>
                </v:textbox>
              </v:shape>
            </w:pict>
          </mc:Fallback>
        </mc:AlternateContent>
      </w:r>
    </w:p>
    <w:p w:rsidR="00450AC4" w:rsidRDefault="00450AC4"/>
    <w:p w:rsidR="00450AC4" w:rsidRDefault="00450AC4"/>
    <w:p w:rsidR="00450AC4" w:rsidRDefault="00450AC4"/>
    <w:p w:rsidR="00450AC4" w:rsidRDefault="00450AC4"/>
    <w:p w:rsidR="00450AC4" w:rsidRDefault="00450AC4"/>
    <w:p w:rsidR="00450AC4" w:rsidRDefault="00450AC4"/>
    <w:p w:rsidR="00450AC4" w:rsidRDefault="00450AC4">
      <w:bookmarkStart w:id="0" w:name="_GoBack"/>
      <w:bookmarkEnd w:id="0"/>
    </w:p>
    <w:p w:rsidR="00450AC4" w:rsidRDefault="00450AC4"/>
    <w:p w:rsidR="00450AC4" w:rsidRDefault="00450AC4"/>
    <w:sectPr w:rsidR="00450AC4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6FE" w:rsidRDefault="00DF06FE" w:rsidP="003A587E">
      <w:r>
        <w:separator/>
      </w:r>
    </w:p>
  </w:endnote>
  <w:endnote w:type="continuationSeparator" w:id="0">
    <w:p w:rsidR="00DF06FE" w:rsidRDefault="00DF06FE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423" w:rsidRDefault="00263423" w:rsidP="00263423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B4183C2" wp14:editId="5B688603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3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q28AEAAEIEAAAOAAAAZHJzL2Uyb0RvYy54bWysU01v2zAMvQ/YfxB0X+y0aD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Kj02rb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263423" w:rsidRPr="00357B92" w:rsidRDefault="00263423" w:rsidP="00263423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DF06FE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13</w:t>
        </w:r>
      </w:sdtContent>
    </w:sdt>
  </w:p>
  <w:p w:rsidR="003A587E" w:rsidRPr="00263423" w:rsidRDefault="003A587E" w:rsidP="00263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6FE" w:rsidRDefault="00DF06FE" w:rsidP="003A587E">
      <w:r>
        <w:separator/>
      </w:r>
    </w:p>
  </w:footnote>
  <w:footnote w:type="continuationSeparator" w:id="0">
    <w:p w:rsidR="00DF06FE" w:rsidRDefault="00DF06FE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3E0C3E" w:rsidTr="003E0C3E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3E0C3E" w:rsidRDefault="003E0C3E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3E0C3E" w:rsidRDefault="003E0C3E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3E0C3E" w:rsidRDefault="003E0C3E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3E0C3E" w:rsidRDefault="003E0C3E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3E0C3E" w:rsidRDefault="003E0C3E">
          <w:pPr>
            <w:spacing w:before="120" w:line="276" w:lineRule="auto"/>
          </w:pPr>
          <w:r>
            <w:rPr>
              <w:sz w:val="22"/>
            </w:rPr>
            <w:t>WS13</w:t>
          </w:r>
        </w:p>
      </w:tc>
    </w:tr>
    <w:tr w:rsidR="003E0C3E" w:rsidTr="003E0C3E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3E0C3E" w:rsidRDefault="003E0C3E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3E0C3E" w:rsidRDefault="003E0C3E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3E0C3E" w:rsidRDefault="003E0C3E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3E0C3E" w:rsidRDefault="003E0C3E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3E0C3E" w:rsidRDefault="003E0C3E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387F20" w:rsidRDefault="00387F20">
    <w:pPr>
      <w:pStyle w:val="Kopfzeile"/>
    </w:pPr>
  </w:p>
  <w:p w:rsidR="003A587E" w:rsidRDefault="003A58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EE4"/>
    <w:multiLevelType w:val="hybridMultilevel"/>
    <w:tmpl w:val="9FB42B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F74217"/>
    <w:multiLevelType w:val="hybridMultilevel"/>
    <w:tmpl w:val="6D18C8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87646F"/>
    <w:multiLevelType w:val="hybridMultilevel"/>
    <w:tmpl w:val="210E82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7E"/>
    <w:rsid w:val="000168F6"/>
    <w:rsid w:val="000968E0"/>
    <w:rsid w:val="0009747B"/>
    <w:rsid w:val="00120331"/>
    <w:rsid w:val="001D3111"/>
    <w:rsid w:val="00263423"/>
    <w:rsid w:val="002D1CD7"/>
    <w:rsid w:val="00386D43"/>
    <w:rsid w:val="00387F20"/>
    <w:rsid w:val="003A587E"/>
    <w:rsid w:val="003E0C3E"/>
    <w:rsid w:val="00450AC4"/>
    <w:rsid w:val="00450B88"/>
    <w:rsid w:val="004A62FC"/>
    <w:rsid w:val="004C66BA"/>
    <w:rsid w:val="0056085A"/>
    <w:rsid w:val="00571FDA"/>
    <w:rsid w:val="005C6002"/>
    <w:rsid w:val="005F0F3A"/>
    <w:rsid w:val="005F4D4E"/>
    <w:rsid w:val="00674988"/>
    <w:rsid w:val="006B73FF"/>
    <w:rsid w:val="00771631"/>
    <w:rsid w:val="007A5153"/>
    <w:rsid w:val="00877AC3"/>
    <w:rsid w:val="008C0C6D"/>
    <w:rsid w:val="00930607"/>
    <w:rsid w:val="00942157"/>
    <w:rsid w:val="009725C1"/>
    <w:rsid w:val="00991546"/>
    <w:rsid w:val="009A0A7F"/>
    <w:rsid w:val="009E4F60"/>
    <w:rsid w:val="00A61C87"/>
    <w:rsid w:val="00A85EAD"/>
    <w:rsid w:val="00AD1985"/>
    <w:rsid w:val="00BC0E84"/>
    <w:rsid w:val="00C40C62"/>
    <w:rsid w:val="00C4241A"/>
    <w:rsid w:val="00CD4A6A"/>
    <w:rsid w:val="00D411F3"/>
    <w:rsid w:val="00D567B7"/>
    <w:rsid w:val="00D67115"/>
    <w:rsid w:val="00DF06FE"/>
    <w:rsid w:val="00E67B85"/>
    <w:rsid w:val="00EA4968"/>
    <w:rsid w:val="00F03748"/>
    <w:rsid w:val="00F661AB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4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4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9</cp:revision>
  <dcterms:created xsi:type="dcterms:W3CDTF">2013-01-07T12:57:00Z</dcterms:created>
  <dcterms:modified xsi:type="dcterms:W3CDTF">2014-10-13T13:17:00Z</dcterms:modified>
</cp:coreProperties>
</file>