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985" w:rsidRPr="00503393" w:rsidRDefault="005F0F3A">
      <w:pPr>
        <w:rPr>
          <w:color w:val="365F91" w:themeColor="accent1" w:themeShade="BF"/>
          <w:sz w:val="52"/>
        </w:rPr>
      </w:pPr>
      <w:r w:rsidRPr="00503393">
        <w:rPr>
          <w:color w:val="365F91" w:themeColor="accent1" w:themeShade="BF"/>
          <w:sz w:val="52"/>
        </w:rPr>
        <w:t>P</w:t>
      </w:r>
      <w:r w:rsidR="008674EC">
        <w:rPr>
          <w:color w:val="365F91" w:themeColor="accent1" w:themeShade="BF"/>
          <w:sz w:val="52"/>
        </w:rPr>
        <w:t>S</w:t>
      </w:r>
      <w:r w:rsidR="003D75F5" w:rsidRPr="00503393">
        <w:rPr>
          <w:color w:val="365F91" w:themeColor="accent1" w:themeShade="BF"/>
          <w:sz w:val="52"/>
        </w:rPr>
        <w:t>3</w:t>
      </w:r>
    </w:p>
    <w:p w:rsidR="003A587E" w:rsidRDefault="003A587E"/>
    <w:p w:rsidR="003A587E" w:rsidRPr="00D65FAB" w:rsidRDefault="00D65FAB">
      <w:pPr>
        <w:rPr>
          <w:i/>
        </w:rPr>
      </w:pPr>
      <w:r w:rsidRPr="00D65FAB">
        <w:rPr>
          <w:i/>
        </w:rPr>
        <w:t>Lernart: Text lesen</w:t>
      </w:r>
      <w:r w:rsidR="00E465C3">
        <w:rPr>
          <w:i/>
        </w:rPr>
        <w:t>, Arbeit mit dem Lehrbuch</w:t>
      </w:r>
      <w:r w:rsidR="005D4F46">
        <w:rPr>
          <w:i/>
        </w:rPr>
        <w:t>, Arbeit mit dem Gesetz, Strukturierung</w:t>
      </w:r>
    </w:p>
    <w:p w:rsidR="003A587E" w:rsidRDefault="003A587E"/>
    <w:p w:rsidR="00B37FAE" w:rsidRPr="00B37FAE" w:rsidRDefault="00B37FAE" w:rsidP="00B37FAE">
      <w:pPr>
        <w:jc w:val="center"/>
        <w:rPr>
          <w:sz w:val="32"/>
        </w:rPr>
      </w:pPr>
      <w:r>
        <w:rPr>
          <w:sz w:val="32"/>
        </w:rPr>
        <w:t>Aktienarten</w:t>
      </w:r>
    </w:p>
    <w:p w:rsidR="00B37FAE" w:rsidRDefault="00B37FAE"/>
    <w:p w:rsidR="00B37FAE" w:rsidRPr="00E465C3" w:rsidRDefault="005D4F46">
      <w:pPr>
        <w:rPr>
          <w:u w:val="single"/>
        </w:rPr>
      </w:pPr>
      <w:r>
        <w:rPr>
          <w:u w:val="single"/>
        </w:rPr>
        <w:t xml:space="preserve">1. </w:t>
      </w:r>
      <w:r w:rsidR="00B37FAE" w:rsidRPr="00E465C3">
        <w:rPr>
          <w:u w:val="single"/>
        </w:rPr>
        <w:t>Aufgabe:</w:t>
      </w:r>
    </w:p>
    <w:p w:rsidR="00B37FAE" w:rsidRDefault="00B37FAE"/>
    <w:p w:rsidR="00B37FAE" w:rsidRPr="008E034D" w:rsidRDefault="00B37FAE">
      <w:r w:rsidRPr="008E034D">
        <w:t>Lesen Sie bitte den nachfolgenden Text und beantworten bitte die folgenden Fragen</w:t>
      </w:r>
      <w:r w:rsidR="00E465C3" w:rsidRPr="008E034D">
        <w:t xml:space="preserve"> in Ihrer Dokumentation</w:t>
      </w:r>
      <w:r w:rsidRPr="008E034D">
        <w:t>:</w:t>
      </w:r>
    </w:p>
    <w:p w:rsidR="00E453AA" w:rsidRDefault="00E453AA"/>
    <w:p w:rsidR="00E453AA" w:rsidRDefault="00CE54BC">
      <w:r>
        <w:rPr>
          <w:noProof/>
          <w:lang w:eastAsia="de-DE"/>
        </w:rPr>
        <w:pict>
          <v:shapetype id="_x0000_t202" coordsize="21600,21600" o:spt="202" path="m,l,21600r21600,l21600,xe">
            <v:stroke joinstyle="miter"/>
            <v:path gradientshapeok="t" o:connecttype="rect"/>
          </v:shapetype>
          <v:shape id="_x0000_s1028" type="#_x0000_t202" style="position:absolute;margin-left:42.35pt;margin-top:.6pt;width:392.25pt;height:160.5pt;z-index:251659264">
            <v:textbox>
              <w:txbxContent>
                <w:p w:rsidR="00E453AA" w:rsidRPr="00E453AA" w:rsidRDefault="00E453AA">
                  <w:pPr>
                    <w:rPr>
                      <w:b/>
                    </w:rPr>
                  </w:pPr>
                  <w:r w:rsidRPr="00E453AA">
                    <w:rPr>
                      <w:b/>
                    </w:rPr>
                    <w:t>Breiter Aktionärskreis</w:t>
                  </w:r>
                </w:p>
                <w:p w:rsidR="00E453AA" w:rsidRPr="00E453AA" w:rsidRDefault="00E453AA">
                  <w:pPr>
                    <w:rPr>
                      <w:sz w:val="22"/>
                    </w:rPr>
                  </w:pPr>
                  <w:r w:rsidRPr="00E453AA">
                    <w:rPr>
                      <w:sz w:val="22"/>
                    </w:rPr>
                    <w:t xml:space="preserve">Das Aktienkapital der Porsche AG beträgt 45,5 Millionen Euro und teilt </w:t>
                  </w:r>
                  <w:r>
                    <w:rPr>
                      <w:sz w:val="22"/>
                    </w:rPr>
                    <w:t>sich auf in 8.750.000 Stammaktien und 8.750.000 börsennotierte Vorzugsaktien. Die Stammaktien werden von Mitgliedern der Familien Porsche und Piech gehalten. Mehr als die Hälfte der Vorzugsaktien liegen bei institutionellen Investoren wie Aktienfonds, Banken und Versicherungen. Diese haben ihren Sitz vor allem in den USA, Deutschland und Großbritannien, in geringerem Maße auch in anderen europäischen Ländern und Asien. Etwas weniger als die Hälfte der Porsche Vorzugsaktien sind breit gestreut und werden von privaten Anlegern vorwiegend aus Deutschland gehalten. Auch die Stammaktionäre der Porsche AG besitzen Vorzugsaktien.</w:t>
                  </w:r>
                </w:p>
              </w:txbxContent>
            </v:textbox>
          </v:shape>
        </w:pict>
      </w:r>
    </w:p>
    <w:p w:rsidR="00E453AA" w:rsidRDefault="00E453AA"/>
    <w:p w:rsidR="00E453AA" w:rsidRDefault="00E453AA"/>
    <w:p w:rsidR="00E453AA" w:rsidRDefault="00E453AA"/>
    <w:p w:rsidR="00E453AA" w:rsidRDefault="00E453AA"/>
    <w:p w:rsidR="00E453AA" w:rsidRDefault="00E453AA"/>
    <w:p w:rsidR="00E453AA" w:rsidRDefault="00E453AA">
      <w:bookmarkStart w:id="0" w:name="_GoBack"/>
      <w:bookmarkEnd w:id="0"/>
    </w:p>
    <w:p w:rsidR="00E453AA" w:rsidRDefault="00E453AA"/>
    <w:p w:rsidR="00E453AA" w:rsidRDefault="00E453AA"/>
    <w:p w:rsidR="00B37FAE" w:rsidRDefault="00B37FAE"/>
    <w:p w:rsidR="003A587E" w:rsidRDefault="003A587E"/>
    <w:p w:rsidR="00E453AA" w:rsidRDefault="00E453AA"/>
    <w:p w:rsidR="003A587E" w:rsidRPr="00691175" w:rsidRDefault="00691175">
      <w:pPr>
        <w:rPr>
          <w:i/>
        </w:rPr>
      </w:pPr>
      <w:r w:rsidRPr="00691175">
        <w:rPr>
          <w:i/>
        </w:rPr>
        <w:tab/>
        <w:t xml:space="preserve">  Quelle: „Zeitungsausschnitt“ erstellt von Dr. Kassner als Unterrichtmaterial</w:t>
      </w:r>
    </w:p>
    <w:p w:rsidR="00B37FAE" w:rsidRDefault="00B37FAE"/>
    <w:p w:rsidR="00B37FAE" w:rsidRDefault="00B37FAE"/>
    <w:p w:rsidR="00B37FAE" w:rsidRDefault="00B37FAE" w:rsidP="00B37FAE">
      <w:pPr>
        <w:pStyle w:val="Listenabsatz"/>
        <w:numPr>
          <w:ilvl w:val="0"/>
          <w:numId w:val="2"/>
        </w:numPr>
      </w:pPr>
      <w:r>
        <w:t>Worin liegt der Unterschied zwischen Stammaktien und Vorzugsaktien?</w:t>
      </w:r>
    </w:p>
    <w:p w:rsidR="00B37FAE" w:rsidRDefault="00B37FAE"/>
    <w:p w:rsidR="00B37FAE" w:rsidRDefault="00B37FAE" w:rsidP="00B37FAE">
      <w:pPr>
        <w:pStyle w:val="Listenabsatz"/>
        <w:numPr>
          <w:ilvl w:val="0"/>
          <w:numId w:val="2"/>
        </w:numPr>
      </w:pPr>
      <w:r>
        <w:t>Weshalb geben die beiden Gründerfamilien von Porsche Vorzugsaktien aus?</w:t>
      </w:r>
    </w:p>
    <w:p w:rsidR="00B37FAE" w:rsidRDefault="00B37FAE"/>
    <w:p w:rsidR="00B37FAE" w:rsidRDefault="00E465C3" w:rsidP="00E465C3">
      <w:pPr>
        <w:pStyle w:val="Listenabsatz"/>
        <w:numPr>
          <w:ilvl w:val="0"/>
          <w:numId w:val="2"/>
        </w:numPr>
      </w:pPr>
      <w:r>
        <w:t>Wie erfolgt die Übertragung des Eigentums bei Inhaberaktien und bei Namensaktien?</w:t>
      </w:r>
    </w:p>
    <w:p w:rsidR="00B37FAE" w:rsidRDefault="00B37FAE"/>
    <w:p w:rsidR="00E465C3" w:rsidRDefault="00E465C3" w:rsidP="00E465C3">
      <w:pPr>
        <w:pStyle w:val="Listenabsatz"/>
        <w:numPr>
          <w:ilvl w:val="0"/>
          <w:numId w:val="2"/>
        </w:numPr>
      </w:pPr>
      <w:r>
        <w:t>Was versteht man unter vinkulierten Namensaktien?</w:t>
      </w:r>
    </w:p>
    <w:p w:rsidR="00E465C3" w:rsidRDefault="00E465C3" w:rsidP="00E465C3"/>
    <w:p w:rsidR="00E465C3" w:rsidRDefault="005D4F46" w:rsidP="00E465C3">
      <w:pPr>
        <w:rPr>
          <w:u w:val="single"/>
        </w:rPr>
      </w:pPr>
      <w:r>
        <w:rPr>
          <w:u w:val="single"/>
        </w:rPr>
        <w:t xml:space="preserve">2. </w:t>
      </w:r>
      <w:r w:rsidR="00A346DF" w:rsidRPr="008E034D">
        <w:rPr>
          <w:u w:val="single"/>
        </w:rPr>
        <w:t>Aufgabe:</w:t>
      </w:r>
    </w:p>
    <w:p w:rsidR="008E034D" w:rsidRPr="008E034D" w:rsidRDefault="008E034D" w:rsidP="00E465C3">
      <w:pPr>
        <w:rPr>
          <w:u w:val="single"/>
        </w:rPr>
      </w:pPr>
    </w:p>
    <w:p w:rsidR="00A346DF" w:rsidRDefault="00A346DF" w:rsidP="008E034D">
      <w:pPr>
        <w:pStyle w:val="Listenabsatz"/>
        <w:numPr>
          <w:ilvl w:val="0"/>
          <w:numId w:val="3"/>
        </w:numPr>
      </w:pPr>
      <w:r>
        <w:t xml:space="preserve">Erklären Sie bitte anhand des Aktiengesetzes </w:t>
      </w:r>
      <w:r w:rsidR="008E034D">
        <w:t>§ 8 den Unterschied zwischen Nennbetragsaktien und Stückaktien.</w:t>
      </w:r>
    </w:p>
    <w:p w:rsidR="00E465C3" w:rsidRDefault="00E465C3" w:rsidP="00E465C3"/>
    <w:p w:rsidR="00E465C3" w:rsidRDefault="008E034D" w:rsidP="008E034D">
      <w:pPr>
        <w:pStyle w:val="Listenabsatz"/>
        <w:numPr>
          <w:ilvl w:val="0"/>
          <w:numId w:val="3"/>
        </w:numPr>
      </w:pPr>
      <w:r>
        <w:t>Welche Regelung bezüglich der Höhe des Nennbetrages ist nach § 8 AktG zu beachten?</w:t>
      </w:r>
    </w:p>
    <w:p w:rsidR="005D4F46" w:rsidRDefault="005D4F46" w:rsidP="005D4F46"/>
    <w:p w:rsidR="005D4F46" w:rsidRPr="005D4F46" w:rsidRDefault="005D4F46" w:rsidP="005D4F46">
      <w:pPr>
        <w:rPr>
          <w:u w:val="single"/>
        </w:rPr>
      </w:pPr>
      <w:r w:rsidRPr="005D4F46">
        <w:rPr>
          <w:u w:val="single"/>
        </w:rPr>
        <w:t>3. Aufgabe:</w:t>
      </w:r>
    </w:p>
    <w:p w:rsidR="005D4F46" w:rsidRDefault="005D4F46" w:rsidP="005D4F46">
      <w:r>
        <w:t>Stellen Sie bitte die erarbeiteten Aktienarten in übersichtlichen Strukturen dar.</w:t>
      </w:r>
    </w:p>
    <w:sectPr w:rsidR="005D4F46" w:rsidSect="00874C76">
      <w:headerReference w:type="default" r:id="rId8"/>
      <w:footerReference w:type="default" r:id="rId9"/>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4BC" w:rsidRDefault="00CE54BC" w:rsidP="003A587E">
      <w:r>
        <w:separator/>
      </w:r>
    </w:p>
  </w:endnote>
  <w:endnote w:type="continuationSeparator" w:id="0">
    <w:p w:rsidR="00CE54BC" w:rsidRDefault="00CE54BC" w:rsidP="003A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CD" w:rsidRDefault="00CE54BC" w:rsidP="006244CD">
    <w:pPr>
      <w:pStyle w:val="Fuzeile"/>
    </w:pPr>
    <w:r>
      <w:rPr>
        <w:noProof/>
      </w:rPr>
      <w:pict>
        <v:line id="Gerade Verbindung 3" o:spid="_x0000_s2059"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7.3pt" to="475.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" strokecolor="#a5a5a5 [2092]"/>
      </w:pict>
    </w:r>
  </w:p>
  <w:p w:rsidR="006244CD" w:rsidRPr="00357B92" w:rsidRDefault="006244CD" w:rsidP="006244CD">
    <w:pPr>
      <w:pStyle w:val="Fuzeile"/>
      <w:rPr>
        <w:color w:val="A6A6A6" w:themeColor="background1" w:themeShade="A6"/>
        <w:sz w:val="18"/>
      </w:rPr>
    </w:pPr>
    <w:r w:rsidRPr="00357B92">
      <w:rPr>
        <w:color w:val="A6A6A6" w:themeColor="background1" w:themeShade="A6"/>
        <w:sz w:val="18"/>
      </w:rPr>
      <w:t>Aktien – Dr. Kassner</w:t>
    </w:r>
    <w:r w:rsidRPr="00357B92">
      <w:rPr>
        <w:color w:val="A6A6A6" w:themeColor="background1" w:themeShade="A6"/>
        <w:sz w:val="18"/>
      </w:rPr>
      <w:tab/>
    </w:r>
    <w:sdt>
      <w:sdtPr>
        <w:rPr>
          <w:color w:val="A6A6A6" w:themeColor="background1" w:themeShade="A6"/>
          <w:sz w:val="18"/>
        </w:rPr>
        <w:id w:val="1223866148"/>
        <w:docPartObj>
          <w:docPartGallery w:val="Page Numbers (Bottom of Page)"/>
          <w:docPartUnique/>
        </w:docPartObj>
      </w:sdtPr>
      <w:sdtEndPr/>
      <w:sdtContent>
        <w:r w:rsidRPr="00357B92">
          <w:rPr>
            <w:color w:val="A6A6A6" w:themeColor="background1" w:themeShade="A6"/>
            <w:sz w:val="18"/>
          </w:rPr>
          <w:fldChar w:fldCharType="begin"/>
        </w:r>
        <w:r w:rsidRPr="00357B92">
          <w:rPr>
            <w:color w:val="A6A6A6" w:themeColor="background1" w:themeShade="A6"/>
            <w:sz w:val="18"/>
          </w:rPr>
          <w:instrText>PAGE   \* MERGEFORMAT</w:instrText>
        </w:r>
        <w:r w:rsidRPr="00357B92">
          <w:rPr>
            <w:color w:val="A6A6A6" w:themeColor="background1" w:themeShade="A6"/>
            <w:sz w:val="18"/>
          </w:rPr>
          <w:fldChar w:fldCharType="separate"/>
        </w:r>
        <w:r w:rsidR="00CE54BC">
          <w:rPr>
            <w:noProof/>
            <w:color w:val="A6A6A6" w:themeColor="background1" w:themeShade="A6"/>
            <w:sz w:val="18"/>
          </w:rPr>
          <w:t>1</w:t>
        </w:r>
        <w:r w:rsidRPr="00357B92">
          <w:rPr>
            <w:color w:val="A6A6A6" w:themeColor="background1" w:themeShade="A6"/>
            <w:sz w:val="18"/>
          </w:rPr>
          <w:fldChar w:fldCharType="end"/>
        </w:r>
        <w:r>
          <w:rPr>
            <w:color w:val="A6A6A6" w:themeColor="background1" w:themeShade="A6"/>
            <w:sz w:val="18"/>
          </w:rPr>
          <w:tab/>
          <w:t xml:space="preserve"> Pflichtstation PS 3</w:t>
        </w:r>
      </w:sdtContent>
    </w:sdt>
  </w:p>
  <w:p w:rsidR="003A587E" w:rsidRPr="00874C76" w:rsidRDefault="003A587E">
    <w:pPr>
      <w:pStyle w:val="Fuzeile"/>
      <w:rPr>
        <w:color w:val="808080" w:themeColor="background1" w:themeShade="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4BC" w:rsidRDefault="00CE54BC" w:rsidP="003A587E">
      <w:r>
        <w:separator/>
      </w:r>
    </w:p>
  </w:footnote>
  <w:footnote w:type="continuationSeparator" w:id="0">
    <w:p w:rsidR="00CE54BC" w:rsidRDefault="00CE54BC" w:rsidP="003A5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3828"/>
      <w:gridCol w:w="992"/>
      <w:gridCol w:w="2693"/>
      <w:gridCol w:w="1559"/>
      <w:gridCol w:w="709"/>
    </w:tblGrid>
    <w:tr w:rsidR="006244CD" w:rsidTr="00FC009A">
      <w:trPr>
        <w:trHeight w:val="397"/>
      </w:trPr>
      <w:tc>
        <w:tcPr>
          <w:tcW w:w="3828" w:type="dxa"/>
          <w:tcBorders>
            <w:top w:val="single" w:sz="4" w:space="0" w:color="auto"/>
            <w:bottom w:val="single" w:sz="4" w:space="0" w:color="auto"/>
          </w:tcBorders>
        </w:tcPr>
        <w:p w:rsidR="006244CD" w:rsidRDefault="006244CD" w:rsidP="00FC009A">
          <w:pPr>
            <w:spacing w:before="120"/>
          </w:pPr>
          <w:r>
            <w:rPr>
              <w:sz w:val="22"/>
            </w:rPr>
            <w:t>Aktien - Stationenlernen</w:t>
          </w:r>
        </w:p>
      </w:tc>
      <w:tc>
        <w:tcPr>
          <w:tcW w:w="992" w:type="dxa"/>
          <w:tcBorders>
            <w:top w:val="single" w:sz="4" w:space="0" w:color="auto"/>
            <w:bottom w:val="single" w:sz="4" w:space="0" w:color="auto"/>
          </w:tcBorders>
        </w:tcPr>
        <w:p w:rsidR="006244CD" w:rsidRDefault="006244CD" w:rsidP="00FC009A">
          <w:pPr>
            <w:spacing w:before="120"/>
          </w:pPr>
          <w:r>
            <w:rPr>
              <w:sz w:val="22"/>
            </w:rPr>
            <w:t>SWL</w:t>
          </w:r>
        </w:p>
      </w:tc>
      <w:tc>
        <w:tcPr>
          <w:tcW w:w="2693" w:type="dxa"/>
          <w:tcBorders>
            <w:top w:val="single" w:sz="4" w:space="0" w:color="auto"/>
            <w:bottom w:val="single" w:sz="4" w:space="0" w:color="auto"/>
          </w:tcBorders>
        </w:tcPr>
        <w:p w:rsidR="006244CD" w:rsidRDefault="006244CD" w:rsidP="00FC009A">
          <w:pPr>
            <w:spacing w:before="120"/>
          </w:pPr>
          <w:r>
            <w:rPr>
              <w:sz w:val="22"/>
            </w:rPr>
            <w:t>Dr. Dieter Kassner</w:t>
          </w:r>
        </w:p>
      </w:tc>
      <w:tc>
        <w:tcPr>
          <w:tcW w:w="1559" w:type="dxa"/>
          <w:tcBorders>
            <w:top w:val="single" w:sz="4" w:space="0" w:color="auto"/>
            <w:bottom w:val="single" w:sz="4" w:space="0" w:color="auto"/>
          </w:tcBorders>
        </w:tcPr>
        <w:p w:rsidR="006244CD" w:rsidRDefault="006244CD" w:rsidP="00FC009A">
          <w:pPr>
            <w:spacing w:before="120"/>
          </w:pPr>
          <w:r>
            <w:rPr>
              <w:sz w:val="22"/>
            </w:rPr>
            <w:t>……..…2014</w:t>
          </w:r>
        </w:p>
      </w:tc>
      <w:tc>
        <w:tcPr>
          <w:tcW w:w="709" w:type="dxa"/>
          <w:tcBorders>
            <w:top w:val="single" w:sz="4" w:space="0" w:color="auto"/>
            <w:bottom w:val="single" w:sz="4" w:space="0" w:color="auto"/>
          </w:tcBorders>
        </w:tcPr>
        <w:p w:rsidR="006244CD" w:rsidRDefault="006244CD" w:rsidP="006244CD">
          <w:pPr>
            <w:spacing w:before="120"/>
          </w:pPr>
          <w:r>
            <w:rPr>
              <w:sz w:val="22"/>
            </w:rPr>
            <w:t>PS 3</w:t>
          </w:r>
        </w:p>
      </w:tc>
    </w:tr>
    <w:tr w:rsidR="006244CD" w:rsidTr="00FC009A">
      <w:tc>
        <w:tcPr>
          <w:tcW w:w="3828" w:type="dxa"/>
          <w:tcBorders>
            <w:top w:val="single" w:sz="4" w:space="0" w:color="auto"/>
            <w:bottom w:val="nil"/>
          </w:tcBorders>
          <w:vAlign w:val="center"/>
        </w:tcPr>
        <w:p w:rsidR="006244CD" w:rsidRDefault="006244CD" w:rsidP="00FC009A">
          <w:pPr>
            <w:rPr>
              <w:sz w:val="14"/>
            </w:rPr>
          </w:pPr>
          <w:r>
            <w:rPr>
              <w:sz w:val="14"/>
            </w:rPr>
            <w:t>Thema</w:t>
          </w:r>
        </w:p>
      </w:tc>
      <w:tc>
        <w:tcPr>
          <w:tcW w:w="992" w:type="dxa"/>
          <w:tcBorders>
            <w:top w:val="single" w:sz="4" w:space="0" w:color="auto"/>
            <w:bottom w:val="nil"/>
          </w:tcBorders>
          <w:vAlign w:val="center"/>
        </w:tcPr>
        <w:p w:rsidR="006244CD" w:rsidRDefault="006244CD" w:rsidP="00FC009A">
          <w:pPr>
            <w:rPr>
              <w:sz w:val="14"/>
            </w:rPr>
          </w:pPr>
          <w:r>
            <w:rPr>
              <w:sz w:val="14"/>
            </w:rPr>
            <w:t>Fach</w:t>
          </w:r>
        </w:p>
      </w:tc>
      <w:tc>
        <w:tcPr>
          <w:tcW w:w="2693" w:type="dxa"/>
          <w:tcBorders>
            <w:top w:val="single" w:sz="4" w:space="0" w:color="auto"/>
            <w:bottom w:val="nil"/>
          </w:tcBorders>
          <w:vAlign w:val="center"/>
        </w:tcPr>
        <w:p w:rsidR="006244CD" w:rsidRDefault="006244CD" w:rsidP="00FC009A">
          <w:pPr>
            <w:rPr>
              <w:sz w:val="14"/>
            </w:rPr>
          </w:pPr>
          <w:r>
            <w:rPr>
              <w:sz w:val="14"/>
            </w:rPr>
            <w:t>Name</w:t>
          </w:r>
        </w:p>
      </w:tc>
      <w:tc>
        <w:tcPr>
          <w:tcW w:w="1559" w:type="dxa"/>
          <w:tcBorders>
            <w:top w:val="single" w:sz="4" w:space="0" w:color="auto"/>
            <w:bottom w:val="nil"/>
          </w:tcBorders>
          <w:vAlign w:val="center"/>
        </w:tcPr>
        <w:p w:rsidR="006244CD" w:rsidRDefault="006244CD" w:rsidP="00FC009A">
          <w:pPr>
            <w:rPr>
              <w:sz w:val="14"/>
            </w:rPr>
          </w:pPr>
          <w:r>
            <w:rPr>
              <w:sz w:val="14"/>
            </w:rPr>
            <w:t>Datum</w:t>
          </w:r>
        </w:p>
      </w:tc>
      <w:tc>
        <w:tcPr>
          <w:tcW w:w="709" w:type="dxa"/>
          <w:tcBorders>
            <w:top w:val="single" w:sz="4" w:space="0" w:color="auto"/>
            <w:bottom w:val="nil"/>
          </w:tcBorders>
          <w:vAlign w:val="center"/>
        </w:tcPr>
        <w:p w:rsidR="006244CD" w:rsidRDefault="006244CD" w:rsidP="00FC009A">
          <w:pPr>
            <w:rPr>
              <w:sz w:val="14"/>
            </w:rPr>
          </w:pPr>
          <w:r>
            <w:rPr>
              <w:sz w:val="14"/>
            </w:rPr>
            <w:t>Nr.</w:t>
          </w:r>
        </w:p>
      </w:tc>
    </w:tr>
  </w:tbl>
  <w:p w:rsidR="009933BD" w:rsidRDefault="009933BD" w:rsidP="009933B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A011B"/>
    <w:multiLevelType w:val="hybridMultilevel"/>
    <w:tmpl w:val="4802E3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D517110"/>
    <w:multiLevelType w:val="hybridMultilevel"/>
    <w:tmpl w:val="6296A9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695833BA"/>
    <w:multiLevelType w:val="hybridMultilevel"/>
    <w:tmpl w:val="54E8A2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A587E"/>
    <w:rsid w:val="0004155E"/>
    <w:rsid w:val="000815D8"/>
    <w:rsid w:val="00120331"/>
    <w:rsid w:val="001C389A"/>
    <w:rsid w:val="002D1CD7"/>
    <w:rsid w:val="00386D43"/>
    <w:rsid w:val="003878E4"/>
    <w:rsid w:val="003A587E"/>
    <w:rsid w:val="003D75F5"/>
    <w:rsid w:val="00503393"/>
    <w:rsid w:val="005D4F46"/>
    <w:rsid w:val="005F0F3A"/>
    <w:rsid w:val="005F4D4E"/>
    <w:rsid w:val="006244CD"/>
    <w:rsid w:val="00691175"/>
    <w:rsid w:val="0081339B"/>
    <w:rsid w:val="00825C88"/>
    <w:rsid w:val="008674EC"/>
    <w:rsid w:val="00871697"/>
    <w:rsid w:val="00874C76"/>
    <w:rsid w:val="008807D0"/>
    <w:rsid w:val="008E034D"/>
    <w:rsid w:val="00930607"/>
    <w:rsid w:val="00961E8B"/>
    <w:rsid w:val="009933BD"/>
    <w:rsid w:val="00A346DF"/>
    <w:rsid w:val="00A531C7"/>
    <w:rsid w:val="00A54056"/>
    <w:rsid w:val="00AD1985"/>
    <w:rsid w:val="00AD3A8C"/>
    <w:rsid w:val="00B37FAE"/>
    <w:rsid w:val="00B8632E"/>
    <w:rsid w:val="00B901DD"/>
    <w:rsid w:val="00C40C62"/>
    <w:rsid w:val="00CE54BC"/>
    <w:rsid w:val="00D65FAB"/>
    <w:rsid w:val="00D67115"/>
    <w:rsid w:val="00E453AA"/>
    <w:rsid w:val="00E465C3"/>
    <w:rsid w:val="00EA0A9D"/>
    <w:rsid w:val="00F00B5A"/>
    <w:rsid w:val="00F661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6D43"/>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87E"/>
    <w:pPr>
      <w:tabs>
        <w:tab w:val="center" w:pos="4536"/>
        <w:tab w:val="right" w:pos="9072"/>
      </w:tabs>
    </w:pPr>
  </w:style>
  <w:style w:type="character" w:customStyle="1" w:styleId="KopfzeileZchn">
    <w:name w:val="Kopfzeile Zchn"/>
    <w:basedOn w:val="Absatz-Standardschriftart"/>
    <w:link w:val="Kopfzeile"/>
    <w:uiPriority w:val="99"/>
    <w:rsid w:val="003A587E"/>
    <w:rPr>
      <w:rFonts w:ascii="Arial" w:hAnsi="Arial"/>
      <w:sz w:val="24"/>
    </w:rPr>
  </w:style>
  <w:style w:type="paragraph" w:styleId="Fuzeile">
    <w:name w:val="footer"/>
    <w:basedOn w:val="Standard"/>
    <w:link w:val="FuzeileZchn"/>
    <w:uiPriority w:val="99"/>
    <w:unhideWhenUsed/>
    <w:rsid w:val="003A587E"/>
    <w:pPr>
      <w:tabs>
        <w:tab w:val="center" w:pos="4536"/>
        <w:tab w:val="right" w:pos="9072"/>
      </w:tabs>
    </w:pPr>
  </w:style>
  <w:style w:type="character" w:customStyle="1" w:styleId="FuzeileZchn">
    <w:name w:val="Fußzeile Zchn"/>
    <w:basedOn w:val="Absatz-Standardschriftart"/>
    <w:link w:val="Fuzeile"/>
    <w:uiPriority w:val="99"/>
    <w:rsid w:val="003A587E"/>
    <w:rPr>
      <w:rFonts w:ascii="Arial" w:hAnsi="Arial"/>
      <w:sz w:val="24"/>
    </w:rPr>
  </w:style>
  <w:style w:type="paragraph" w:styleId="Sprechblasentext">
    <w:name w:val="Balloon Text"/>
    <w:basedOn w:val="Standard"/>
    <w:link w:val="SprechblasentextZchn"/>
    <w:uiPriority w:val="99"/>
    <w:semiHidden/>
    <w:unhideWhenUsed/>
    <w:rsid w:val="003A58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587E"/>
    <w:rPr>
      <w:rFonts w:ascii="Tahoma" w:hAnsi="Tahoma" w:cs="Tahoma"/>
      <w:sz w:val="16"/>
      <w:szCs w:val="16"/>
    </w:rPr>
  </w:style>
  <w:style w:type="paragraph" w:styleId="Listenabsatz">
    <w:name w:val="List Paragraph"/>
    <w:basedOn w:val="Standard"/>
    <w:uiPriority w:val="34"/>
    <w:qFormat/>
    <w:rsid w:val="00B37F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773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Dieter Kassner</dc:creator>
  <cp:lastModifiedBy>Dr. Dieter Kassner</cp:lastModifiedBy>
  <cp:revision>13</cp:revision>
  <dcterms:created xsi:type="dcterms:W3CDTF">2011-05-05T14:55:00Z</dcterms:created>
  <dcterms:modified xsi:type="dcterms:W3CDTF">2014-08-04T12:20:00Z</dcterms:modified>
</cp:coreProperties>
</file>