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C31" w:rsidRDefault="00DD5C31" w:rsidP="00DD5C31">
      <w:pPr>
        <w:jc w:val="center"/>
        <w:rPr>
          <w:sz w:val="28"/>
        </w:rPr>
      </w:pPr>
      <w:bookmarkStart w:id="0" w:name="_GoBack"/>
      <w:bookmarkEnd w:id="0"/>
      <w:r>
        <w:rPr>
          <w:sz w:val="28"/>
        </w:rPr>
        <w:t>Pädagogische Diagnose – Diagnosetabelle für Fachkompetenzen</w:t>
      </w:r>
    </w:p>
    <w:p w:rsidR="00DD5C31" w:rsidRDefault="00DD5C31" w:rsidP="00DD5C31"/>
    <w:p w:rsidR="00DD5C31" w:rsidRDefault="00DD5C31" w:rsidP="00DD5C31">
      <w:pPr>
        <w:rPr>
          <w:i/>
          <w:sz w:val="22"/>
          <w:u w:val="single"/>
        </w:rPr>
      </w:pPr>
      <w:r>
        <w:rPr>
          <w:i/>
          <w:sz w:val="22"/>
          <w:u w:val="single"/>
        </w:rPr>
        <w:t>Arbeitsauftrag:</w:t>
      </w:r>
    </w:p>
    <w:p w:rsidR="00DD5C31" w:rsidRDefault="00DD5C31" w:rsidP="00DD5C31">
      <w:pPr>
        <w:rPr>
          <w:i/>
          <w:sz w:val="22"/>
        </w:rPr>
      </w:pPr>
      <w:r>
        <w:rPr>
          <w:i/>
          <w:sz w:val="22"/>
        </w:rPr>
        <w:t>Bitte stellen Sie anhand der nachfolgenden Tabelle Ihren Wissensstand vor und nach dem Lernen an Stationen, sowie nach der gesamten Unterrichtseinheit fest.</w:t>
      </w:r>
    </w:p>
    <w:p w:rsidR="00DD5C31" w:rsidRDefault="00DD5C31" w:rsidP="00DD5C31">
      <w:pPr>
        <w:rPr>
          <w:i/>
          <w:sz w:val="22"/>
        </w:rPr>
      </w:pPr>
    </w:p>
    <w:tbl>
      <w:tblPr>
        <w:tblStyle w:val="Tabellenraster"/>
        <w:tblW w:w="10950" w:type="dxa"/>
        <w:tblInd w:w="-632" w:type="dxa"/>
        <w:tblLayout w:type="fixed"/>
        <w:tblLook w:val="04A0" w:firstRow="1" w:lastRow="0" w:firstColumn="1" w:lastColumn="0" w:noHBand="0" w:noVBand="1"/>
      </w:tblPr>
      <w:tblGrid>
        <w:gridCol w:w="2802"/>
        <w:gridCol w:w="632"/>
        <w:gridCol w:w="708"/>
        <w:gridCol w:w="851"/>
        <w:gridCol w:w="712"/>
        <w:gridCol w:w="708"/>
        <w:gridCol w:w="851"/>
        <w:gridCol w:w="850"/>
        <w:gridCol w:w="709"/>
        <w:gridCol w:w="709"/>
        <w:gridCol w:w="709"/>
        <w:gridCol w:w="709"/>
      </w:tblGrid>
      <w:tr w:rsidR="00DD5C31" w:rsidTr="00DD5C31">
        <w:tc>
          <w:tcPr>
            <w:tcW w:w="10950" w:type="dxa"/>
            <w:gridSpan w:val="12"/>
            <w:tcBorders>
              <w:top w:val="single" w:sz="4" w:space="0" w:color="auto"/>
              <w:left w:val="single" w:sz="4" w:space="0" w:color="auto"/>
              <w:bottom w:val="single" w:sz="4" w:space="0" w:color="auto"/>
              <w:right w:val="single" w:sz="4" w:space="0" w:color="auto"/>
            </w:tcBorders>
            <w:hideMark/>
          </w:tcPr>
          <w:p w:rsidR="00DD5C31" w:rsidRDefault="00AD2F98" w:rsidP="00870877">
            <w:pPr>
              <w:rPr>
                <w:b/>
              </w:rPr>
            </w:pPr>
            <w:r>
              <w:rPr>
                <w:b/>
              </w:rPr>
              <w:t>Ich kann mündlich, schriftlich und im Rahmen eines Beratungsgesprächs zum Thema „Aktien“ als Rollenspiel mit einer Mitschülerin bzw. einem Mitschüler in der Schule…</w:t>
            </w:r>
          </w:p>
        </w:tc>
      </w:tr>
      <w:tr w:rsidR="00DD5C31" w:rsidTr="00F211B9">
        <w:tc>
          <w:tcPr>
            <w:tcW w:w="2802" w:type="dxa"/>
            <w:vMerge w:val="restart"/>
            <w:tcBorders>
              <w:top w:val="single" w:sz="4" w:space="0" w:color="auto"/>
              <w:left w:val="single" w:sz="4" w:space="0" w:color="auto"/>
              <w:bottom w:val="single" w:sz="4" w:space="0" w:color="auto"/>
              <w:right w:val="single" w:sz="4" w:space="0" w:color="auto"/>
            </w:tcBorders>
          </w:tcPr>
          <w:p w:rsidR="00DD5C31" w:rsidRDefault="00DD5C31">
            <w:pPr>
              <w:rPr>
                <w:b/>
              </w:rPr>
            </w:pPr>
          </w:p>
          <w:p w:rsidR="00DD5C31" w:rsidRDefault="00DD5C31">
            <w:pPr>
              <w:rPr>
                <w:b/>
              </w:rPr>
            </w:pPr>
          </w:p>
        </w:tc>
        <w:tc>
          <w:tcPr>
            <w:tcW w:w="2191"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DD5C31" w:rsidRDefault="00DD5C31">
            <w:pPr>
              <w:jc w:val="center"/>
              <w:rPr>
                <w:b/>
                <w:sz w:val="20"/>
              </w:rPr>
            </w:pPr>
            <w:r>
              <w:rPr>
                <w:b/>
                <w:sz w:val="20"/>
              </w:rPr>
              <w:t>Vor dem Stat.lernen</w:t>
            </w:r>
          </w:p>
        </w:tc>
        <w:tc>
          <w:tcPr>
            <w:tcW w:w="2271" w:type="dxa"/>
            <w:gridSpan w:val="3"/>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rsidR="00DD5C31" w:rsidRDefault="00DD5C31">
            <w:pPr>
              <w:jc w:val="center"/>
              <w:rPr>
                <w:b/>
                <w:sz w:val="20"/>
              </w:rPr>
            </w:pPr>
            <w:r>
              <w:rPr>
                <w:b/>
                <w:sz w:val="20"/>
              </w:rPr>
              <w:t>Nach dem Stat.lernen</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DD5C31" w:rsidRDefault="00DD5C31">
            <w:pPr>
              <w:jc w:val="center"/>
              <w:rPr>
                <w:b/>
                <w:sz w:val="20"/>
              </w:rPr>
            </w:pPr>
            <w:r>
              <w:rPr>
                <w:b/>
                <w:sz w:val="20"/>
              </w:rPr>
              <w:t>Nach Konsolidierung</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jc w:val="center"/>
              <w:rPr>
                <w: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jc w:val="center"/>
              <w:rPr>
                <w:b/>
              </w:rPr>
            </w:pPr>
          </w:p>
        </w:tc>
      </w:tr>
      <w:tr w:rsidR="00DD5C31" w:rsidTr="00F211B9">
        <w:tc>
          <w:tcPr>
            <w:tcW w:w="2802" w:type="dxa"/>
            <w:vMerge/>
            <w:tcBorders>
              <w:top w:val="single" w:sz="4" w:space="0" w:color="auto"/>
              <w:left w:val="single" w:sz="4" w:space="0" w:color="auto"/>
              <w:bottom w:val="single" w:sz="4" w:space="0" w:color="auto"/>
              <w:right w:val="single" w:sz="4" w:space="0" w:color="auto"/>
            </w:tcBorders>
            <w:vAlign w:val="center"/>
            <w:hideMark/>
          </w:tcPr>
          <w:p w:rsidR="00DD5C31" w:rsidRDefault="00DD5C31">
            <w:pPr>
              <w:rPr>
                <w:b/>
              </w:rPr>
            </w:pP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pPr>
              <w:jc w:val="center"/>
              <w:rPr>
                <w:sz w:val="28"/>
              </w:rPr>
            </w:pPr>
          </w:p>
          <w:p w:rsidR="00DD5C31" w:rsidRDefault="00DD5C31">
            <w:pPr>
              <w:jc w:val="center"/>
              <w:rPr>
                <w:sz w:val="36"/>
              </w:rPr>
            </w:pPr>
            <w:r>
              <w:rPr>
                <w:sz w:val="36"/>
              </w:rPr>
              <w:t>+</w:t>
            </w:r>
          </w:p>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pPr>
              <w:jc w:val="center"/>
              <w:rPr>
                <w:sz w:val="28"/>
              </w:rPr>
            </w:pPr>
          </w:p>
          <w:p w:rsidR="00DD5C31" w:rsidRDefault="00DD5C31">
            <w:pPr>
              <w:jc w:val="center"/>
              <w:rPr>
                <w:sz w:val="36"/>
              </w:rPr>
            </w:pPr>
            <w:r>
              <w:rPr>
                <w:sz w:val="36"/>
              </w:rPr>
              <w:t>o</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pPr>
              <w:jc w:val="center"/>
              <w:rPr>
                <w:sz w:val="28"/>
              </w:rPr>
            </w:pPr>
          </w:p>
          <w:p w:rsidR="00DD5C31" w:rsidRDefault="00DD5C31">
            <w:pPr>
              <w:jc w:val="center"/>
              <w:rPr>
                <w:sz w:val="36"/>
              </w:rPr>
            </w:pPr>
            <w:r>
              <w:rPr>
                <w:sz w:val="36"/>
              </w:rPr>
              <w:t>-</w:t>
            </w:r>
          </w:p>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pPr>
              <w:jc w:val="center"/>
              <w:rPr>
                <w:sz w:val="28"/>
              </w:rPr>
            </w:pPr>
          </w:p>
          <w:p w:rsidR="00DD5C31" w:rsidRDefault="00DD5C31">
            <w:pPr>
              <w:jc w:val="center"/>
              <w:rPr>
                <w:sz w:val="36"/>
              </w:rPr>
            </w:pPr>
            <w:r>
              <w:rPr>
                <w:sz w:val="36"/>
              </w:rPr>
              <w:t>+</w:t>
            </w:r>
          </w:p>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pPr>
              <w:jc w:val="center"/>
              <w:rPr>
                <w:sz w:val="28"/>
              </w:rPr>
            </w:pPr>
          </w:p>
          <w:p w:rsidR="00DD5C31" w:rsidRDefault="00DD5C31">
            <w:pPr>
              <w:jc w:val="center"/>
              <w:rPr>
                <w:sz w:val="36"/>
              </w:rPr>
            </w:pPr>
            <w:r>
              <w:rPr>
                <w:sz w:val="36"/>
              </w:rPr>
              <w:t>o</w:t>
            </w:r>
          </w:p>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pPr>
              <w:jc w:val="center"/>
              <w:rPr>
                <w:sz w:val="28"/>
              </w:rPr>
            </w:pPr>
          </w:p>
          <w:p w:rsidR="00DD5C31" w:rsidRDefault="00DD5C31">
            <w:pPr>
              <w:jc w:val="center"/>
              <w:rPr>
                <w:sz w:val="36"/>
              </w:rPr>
            </w:pPr>
            <w:r>
              <w:rPr>
                <w:sz w:val="36"/>
              </w:rPr>
              <w:t>-</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pPr>
              <w:jc w:val="center"/>
              <w:rPr>
                <w:noProof/>
                <w:sz w:val="28"/>
                <w:lang w:eastAsia="de-DE"/>
              </w:rPr>
            </w:pPr>
          </w:p>
          <w:p w:rsidR="00DD5C31" w:rsidRDefault="00DD5C31">
            <w:pPr>
              <w:jc w:val="center"/>
              <w:rPr>
                <w:noProof/>
                <w:sz w:val="36"/>
                <w:lang w:eastAsia="de-DE"/>
              </w:rPr>
            </w:pPr>
            <w:r>
              <w:rPr>
                <w:noProof/>
                <w:sz w:val="36"/>
                <w:lang w:eastAsia="de-DE"/>
              </w:rPr>
              <w:t>+</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pPr>
              <w:jc w:val="center"/>
              <w:rPr>
                <w:noProof/>
                <w:sz w:val="28"/>
                <w:lang w:eastAsia="de-DE"/>
              </w:rPr>
            </w:pPr>
          </w:p>
          <w:p w:rsidR="00DD5C31" w:rsidRDefault="00DD5C31">
            <w:pPr>
              <w:jc w:val="center"/>
              <w:rPr>
                <w:noProof/>
                <w:sz w:val="36"/>
                <w:lang w:eastAsia="de-DE"/>
              </w:rPr>
            </w:pPr>
            <w:r>
              <w:rPr>
                <w:noProof/>
                <w:sz w:val="36"/>
                <w:lang w:eastAsia="de-DE"/>
              </w:rPr>
              <w:t>o</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pPr>
              <w:jc w:val="center"/>
              <w:rPr>
                <w:noProof/>
                <w:sz w:val="28"/>
                <w:lang w:eastAsia="de-DE"/>
              </w:rPr>
            </w:pPr>
          </w:p>
          <w:p w:rsidR="00DD5C31" w:rsidRDefault="00DD5C31">
            <w:pPr>
              <w:jc w:val="center"/>
              <w:rPr>
                <w:noProof/>
                <w:sz w:val="36"/>
                <w:lang w:eastAsia="de-DE"/>
              </w:rPr>
            </w:pPr>
            <w:r>
              <w:rPr>
                <w:noProof/>
                <w:sz w:val="36"/>
                <w:lang w:eastAsia="de-DE"/>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jc w:val="center"/>
              <w:rPr>
                <w:noProof/>
                <w:color w:val="244061" w:themeColor="accent1" w:themeShade="80"/>
                <w:sz w:val="20"/>
                <w:lang w:eastAsia="de-DE"/>
              </w:rPr>
            </w:pPr>
            <w:r>
              <w:rPr>
                <w:noProof/>
                <w:color w:val="244061" w:themeColor="accent1" w:themeShade="80"/>
                <w:sz w:val="18"/>
                <w:lang w:eastAsia="de-DE"/>
              </w:rPr>
              <w:t>Pflicht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jc w:val="center"/>
              <w:rPr>
                <w:noProof/>
                <w:color w:val="4F6228" w:themeColor="accent3" w:themeShade="80"/>
                <w:sz w:val="18"/>
                <w:lang w:eastAsia="de-DE"/>
              </w:rPr>
            </w:pPr>
            <w:r>
              <w:rPr>
                <w:noProof/>
                <w:color w:val="4F6228" w:themeColor="accent3" w:themeShade="80"/>
                <w:sz w:val="18"/>
                <w:lang w:eastAsia="de-DE"/>
              </w:rPr>
              <w:t>Wahl</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…das Wesen der Aktie erklären.                             </w:t>
            </w:r>
            <w:r>
              <w:rPr>
                <w:color w:val="FF0000"/>
                <w:sz w:val="20"/>
              </w:rPr>
              <w:t>1</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Text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rPr>
                <w:color w:val="4F6228" w:themeColor="accent3" w:themeShade="80"/>
                <w:sz w:val="20"/>
              </w:rPr>
            </w:pP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…Nennbetragsaktien und Stückaktien unterscheiden.</w:t>
            </w:r>
            <w:r>
              <w:rPr>
                <w:color w:val="FF0000"/>
                <w:sz w:val="20"/>
              </w:rPr>
              <w:t>2</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W1</w:t>
            </w:r>
          </w:p>
          <w:p w:rsidR="00DD5C31" w:rsidRDefault="00DD5C31">
            <w:pPr>
              <w:rPr>
                <w:color w:val="4F6228" w:themeColor="accent3" w:themeShade="80"/>
                <w:sz w:val="20"/>
              </w:rPr>
            </w:pPr>
            <w:r>
              <w:rPr>
                <w:color w:val="4F6228" w:themeColor="accent3" w:themeShade="80"/>
                <w:sz w:val="20"/>
              </w:rPr>
              <w:t>W5</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…Stammaktien und Vorzugsaktien unter-scheiden.                           </w:t>
            </w:r>
            <w:r>
              <w:rPr>
                <w:color w:val="FF0000"/>
                <w:sz w:val="20"/>
              </w:rPr>
              <w:t>3</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W1</w:t>
            </w:r>
          </w:p>
          <w:p w:rsidR="00DD5C31" w:rsidRDefault="00DD5C31">
            <w:pPr>
              <w:rPr>
                <w:color w:val="4F6228" w:themeColor="accent3" w:themeShade="80"/>
                <w:sz w:val="20"/>
              </w:rPr>
            </w:pPr>
            <w:r>
              <w:rPr>
                <w:color w:val="4F6228" w:themeColor="accent3" w:themeShade="80"/>
                <w:sz w:val="20"/>
              </w:rPr>
              <w:t>W5</w:t>
            </w:r>
          </w:p>
          <w:p w:rsidR="00DD5C31" w:rsidRDefault="00DD5C31">
            <w:pPr>
              <w:rPr>
                <w:color w:val="4F6228" w:themeColor="accent3" w:themeShade="80"/>
                <w:sz w:val="20"/>
              </w:rPr>
            </w:pPr>
            <w:r>
              <w:rPr>
                <w:color w:val="4F6228" w:themeColor="accent3" w:themeShade="80"/>
                <w:sz w:val="20"/>
              </w:rPr>
              <w:t>W6</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sz w:val="20"/>
              </w:rPr>
            </w:pPr>
            <w:r>
              <w:rPr>
                <w:sz w:val="20"/>
              </w:rPr>
              <w:t>…Namensaktien und Inhaberaktien unterscheiden.</w:t>
            </w:r>
          </w:p>
          <w:p w:rsidR="00DD5C31" w:rsidRDefault="00DD5C31">
            <w:pPr>
              <w:rPr>
                <w:color w:val="FF0000"/>
                <w:sz w:val="20"/>
              </w:rPr>
            </w:pPr>
            <w:r>
              <w:rPr>
                <w:color w:val="FF0000"/>
                <w:sz w:val="20"/>
              </w:rPr>
              <w:t xml:space="preserve">                                           4</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W1</w:t>
            </w:r>
          </w:p>
          <w:p w:rsidR="00DD5C31" w:rsidRDefault="00DD5C31">
            <w:pPr>
              <w:rPr>
                <w:color w:val="4F6228" w:themeColor="accent3" w:themeShade="80"/>
                <w:sz w:val="20"/>
              </w:rPr>
            </w:pPr>
            <w:r>
              <w:rPr>
                <w:color w:val="4F6228" w:themeColor="accent3" w:themeShade="80"/>
                <w:sz w:val="20"/>
              </w:rPr>
              <w:t>W5</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…eine Dividenden-abrechnung durchführen.    </w:t>
            </w:r>
            <w:r>
              <w:rPr>
                <w:color w:val="FF0000"/>
                <w:sz w:val="20"/>
              </w:rPr>
              <w:t>5</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W8</w:t>
            </w:r>
          </w:p>
        </w:tc>
      </w:tr>
      <w:tr w:rsidR="00DD5C31" w:rsidTr="00F211B9">
        <w:tc>
          <w:tcPr>
            <w:tcW w:w="2802" w:type="dxa"/>
            <w:tcBorders>
              <w:top w:val="single" w:sz="4" w:space="0" w:color="auto"/>
              <w:left w:val="single" w:sz="4" w:space="0" w:color="auto"/>
              <w:bottom w:val="single" w:sz="4" w:space="0" w:color="auto"/>
              <w:right w:val="single" w:sz="4" w:space="0" w:color="auto"/>
            </w:tcBorders>
          </w:tcPr>
          <w:p w:rsidR="00DD5C31" w:rsidRDefault="00DD5C31">
            <w:pPr>
              <w:rPr>
                <w:color w:val="FF0000"/>
                <w:sz w:val="20"/>
              </w:rPr>
            </w:pPr>
            <w:r>
              <w:rPr>
                <w:sz w:val="20"/>
              </w:rPr>
              <w:t xml:space="preserve">…die Bedeutung eines Dividendenscheins und eines Talons erklären.        </w:t>
            </w:r>
            <w:r>
              <w:rPr>
                <w:color w:val="FF0000"/>
                <w:sz w:val="20"/>
              </w:rPr>
              <w:t>6</w:t>
            </w:r>
          </w:p>
          <w:p w:rsidR="00DD5C31" w:rsidRDefault="00DD5C31">
            <w:pPr>
              <w:rPr>
                <w:color w:val="FF0000"/>
                <w:sz w:val="20"/>
              </w:rPr>
            </w:pP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rPr>
                <w:color w:val="4F6228" w:themeColor="accent3" w:themeShade="80"/>
                <w:sz w:val="20"/>
              </w:rPr>
            </w:pP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…die bilanzielle Erfassung aller Aktien anhand einer Grafik erklären.                   </w:t>
            </w:r>
            <w:r>
              <w:rPr>
                <w:color w:val="FF0000"/>
                <w:sz w:val="20"/>
              </w:rPr>
              <w:t>7</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W4</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…die Risiken einer Aktienanlage erklären.        </w:t>
            </w:r>
            <w:r>
              <w:rPr>
                <w:color w:val="FF0000"/>
                <w:sz w:val="20"/>
              </w:rPr>
              <w:t>8</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W2</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…mind. 3 Einflussfaktoren auf den Aktienkurs nennen und erklären.                       </w:t>
            </w:r>
            <w:r>
              <w:rPr>
                <w:color w:val="FF0000"/>
                <w:sz w:val="20"/>
              </w:rPr>
              <w:t>9</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rPr>
                <w:color w:val="4F6228" w:themeColor="accent3" w:themeShade="80"/>
                <w:sz w:val="20"/>
              </w:rPr>
            </w:pP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…die Bedeutung eines Aktien-Charts erklären.     </w:t>
            </w:r>
            <w:r>
              <w:rPr>
                <w:color w:val="FF0000"/>
                <w:sz w:val="20"/>
              </w:rPr>
              <w:t>10</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W5</w:t>
            </w:r>
          </w:p>
          <w:p w:rsidR="00DD5C31" w:rsidRDefault="00DD5C31">
            <w:pPr>
              <w:rPr>
                <w:color w:val="4F6228" w:themeColor="accent3" w:themeShade="80"/>
                <w:sz w:val="20"/>
              </w:rPr>
            </w:pPr>
            <w:r>
              <w:rPr>
                <w:color w:val="4F6228" w:themeColor="accent3" w:themeShade="80"/>
                <w:sz w:val="20"/>
              </w:rPr>
              <w:t>W6</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…die Art des Kapitals für eine AG bei Aktien und bei Anleihen unterscheiden.   </w:t>
            </w:r>
            <w:r>
              <w:rPr>
                <w:color w:val="FF0000"/>
                <w:sz w:val="20"/>
              </w:rPr>
              <w:t>11</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rPr>
                <w:color w:val="4F6228" w:themeColor="accent3" w:themeShade="80"/>
                <w:sz w:val="20"/>
              </w:rPr>
            </w:pP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…eine Kauf- und eine Verkaufsabrechnung erstellen.                           </w:t>
            </w:r>
            <w:r>
              <w:rPr>
                <w:color w:val="FF0000"/>
                <w:sz w:val="20"/>
              </w:rPr>
              <w:t>12</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W6</w:t>
            </w:r>
          </w:p>
          <w:p w:rsidR="00DD5C31" w:rsidRDefault="00DD5C31">
            <w:pPr>
              <w:rPr>
                <w:color w:val="4F6228" w:themeColor="accent3" w:themeShade="80"/>
                <w:sz w:val="20"/>
              </w:rPr>
            </w:pPr>
            <w:r>
              <w:rPr>
                <w:color w:val="4F6228" w:themeColor="accent3" w:themeShade="80"/>
                <w:sz w:val="20"/>
              </w:rPr>
              <w:t>W8</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…Aktien beim Kauf und Verkauf limitieren.             </w:t>
            </w:r>
            <w:r>
              <w:rPr>
                <w:color w:val="FF0000"/>
                <w:sz w:val="20"/>
              </w:rPr>
              <w:t>13</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W7</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sz w:val="20"/>
              </w:rPr>
            </w:pPr>
            <w:r>
              <w:rPr>
                <w:sz w:val="20"/>
              </w:rPr>
              <w:t>…das Zustandekommen eines Aktienkurses erklären.</w:t>
            </w:r>
          </w:p>
          <w:p w:rsidR="00DD5C31" w:rsidRDefault="00DD5C31">
            <w:pPr>
              <w:rPr>
                <w:color w:val="FF0000"/>
                <w:sz w:val="20"/>
              </w:rPr>
            </w:pPr>
            <w:r>
              <w:rPr>
                <w:sz w:val="20"/>
              </w:rPr>
              <w:t xml:space="preserve">                                          </w:t>
            </w:r>
            <w:r>
              <w:rPr>
                <w:color w:val="FF0000"/>
                <w:sz w:val="20"/>
              </w:rPr>
              <w:t>14</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rPr>
                <w:color w:val="4F6228" w:themeColor="accent3" w:themeShade="80"/>
                <w:sz w:val="20"/>
              </w:rPr>
            </w:pP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…erklären, wie Aktien an der Börse gehandelt werden.  </w:t>
            </w:r>
            <w:r>
              <w:rPr>
                <w:color w:val="FF0000"/>
                <w:sz w:val="20"/>
              </w:rPr>
              <w:t>15</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rPr>
                <w:color w:val="4F6228" w:themeColor="accent3" w:themeShade="80"/>
                <w:sz w:val="20"/>
              </w:rPr>
            </w:pP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 xml:space="preserve">…die Begriffe „Geld“ und „Brief“ erklären.                 </w:t>
            </w:r>
            <w:r>
              <w:rPr>
                <w:color w:val="FF0000"/>
                <w:sz w:val="20"/>
              </w:rPr>
              <w:t>16</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W7</w:t>
            </w:r>
          </w:p>
        </w:tc>
      </w:tr>
      <w:tr w:rsidR="00DD5C31" w:rsidTr="00F211B9">
        <w:tc>
          <w:tcPr>
            <w:tcW w:w="2802" w:type="dxa"/>
            <w:tcBorders>
              <w:top w:val="single" w:sz="4" w:space="0" w:color="auto"/>
              <w:left w:val="single" w:sz="4" w:space="0" w:color="auto"/>
              <w:bottom w:val="single" w:sz="4" w:space="0" w:color="auto"/>
              <w:right w:val="single" w:sz="4" w:space="0" w:color="auto"/>
            </w:tcBorders>
            <w:hideMark/>
          </w:tcPr>
          <w:p w:rsidR="00DD5C31" w:rsidRDefault="00DD5C31">
            <w:pPr>
              <w:rPr>
                <w:color w:val="FF0000"/>
                <w:sz w:val="20"/>
              </w:rPr>
            </w:pPr>
            <w:r>
              <w:rPr>
                <w:sz w:val="20"/>
              </w:rPr>
              <w:t>…die Effektivverzinsung bei Aktienanlagen berechnen.</w:t>
            </w:r>
            <w:r>
              <w:rPr>
                <w:color w:val="FF0000"/>
                <w:sz w:val="20"/>
              </w:rPr>
              <w:t>17</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244061" w:themeColor="accent1" w:themeShade="80"/>
                <w:sz w:val="20"/>
              </w:rPr>
            </w:pPr>
            <w:r>
              <w:rPr>
                <w:color w:val="244061" w:themeColor="accent1" w:themeShade="80"/>
                <w:sz w:val="20"/>
              </w:rPr>
              <w:t>P7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rPr>
                <w:color w:val="4F6228" w:themeColor="accent3" w:themeShade="80"/>
                <w:sz w:val="20"/>
              </w:rPr>
            </w:pPr>
            <w:r>
              <w:rPr>
                <w:color w:val="4F6228" w:themeColor="accent3" w:themeShade="80"/>
                <w:sz w:val="20"/>
              </w:rPr>
              <w:t>W8</w:t>
            </w:r>
          </w:p>
        </w:tc>
      </w:tr>
      <w:tr w:rsidR="00DD5C31" w:rsidTr="00DD5C31">
        <w:tc>
          <w:tcPr>
            <w:tcW w:w="10950" w:type="dxa"/>
            <w:gridSpan w:val="12"/>
            <w:tcBorders>
              <w:top w:val="single" w:sz="4" w:space="0" w:color="auto"/>
              <w:left w:val="single" w:sz="4" w:space="0" w:color="auto"/>
              <w:bottom w:val="single" w:sz="4" w:space="0" w:color="auto"/>
              <w:right w:val="single" w:sz="4" w:space="0" w:color="auto"/>
            </w:tcBorders>
            <w:hideMark/>
          </w:tcPr>
          <w:p w:rsidR="000174FA" w:rsidRDefault="000174FA">
            <w:pPr>
              <w:rPr>
                <w:b/>
              </w:rPr>
            </w:pPr>
          </w:p>
          <w:p w:rsidR="000174FA" w:rsidRDefault="000174FA">
            <w:pPr>
              <w:rPr>
                <w:b/>
              </w:rPr>
            </w:pPr>
          </w:p>
          <w:p w:rsidR="00DD5C31" w:rsidRDefault="00AD2F98">
            <w:pPr>
              <w:rPr>
                <w:b/>
              </w:rPr>
            </w:pPr>
            <w:r>
              <w:rPr>
                <w:b/>
              </w:rPr>
              <w:t>Ich kann mündlich, schriftlich und im Rahmen eines Beratungsgesprächs zum Thema „Aktien“ als Rollenspiel mit einer Mitschülerin bzw. einem Mitschüler in der Schule…</w:t>
            </w:r>
          </w:p>
        </w:tc>
      </w:tr>
      <w:tr w:rsidR="00DD5C31" w:rsidTr="00F211B9">
        <w:tc>
          <w:tcPr>
            <w:tcW w:w="2802" w:type="dxa"/>
            <w:vMerge w:val="restart"/>
            <w:tcBorders>
              <w:top w:val="single" w:sz="4" w:space="0" w:color="auto"/>
              <w:left w:val="single" w:sz="4" w:space="0" w:color="auto"/>
              <w:bottom w:val="single" w:sz="4" w:space="0" w:color="auto"/>
              <w:right w:val="single" w:sz="4" w:space="0" w:color="auto"/>
            </w:tcBorders>
          </w:tcPr>
          <w:p w:rsidR="00DD5C31" w:rsidRDefault="00DD5C31">
            <w:pPr>
              <w:rPr>
                <w:b/>
              </w:rPr>
            </w:pPr>
          </w:p>
          <w:p w:rsidR="00DD5C31" w:rsidRDefault="00DD5C31">
            <w:pPr>
              <w:rPr>
                <w:b/>
              </w:rPr>
            </w:pPr>
          </w:p>
        </w:tc>
        <w:tc>
          <w:tcPr>
            <w:tcW w:w="2191"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DD5C31" w:rsidRDefault="00DD5C31">
            <w:pPr>
              <w:jc w:val="center"/>
              <w:rPr>
                <w:b/>
                <w:sz w:val="20"/>
              </w:rPr>
            </w:pPr>
            <w:r>
              <w:rPr>
                <w:b/>
                <w:sz w:val="20"/>
              </w:rPr>
              <w:t>Vor dem Stat.lernen</w:t>
            </w:r>
          </w:p>
        </w:tc>
        <w:tc>
          <w:tcPr>
            <w:tcW w:w="2271" w:type="dxa"/>
            <w:gridSpan w:val="3"/>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rsidR="00DD5C31" w:rsidRDefault="00DD5C31">
            <w:pPr>
              <w:jc w:val="center"/>
              <w:rPr>
                <w:b/>
                <w:sz w:val="20"/>
              </w:rPr>
            </w:pPr>
            <w:r>
              <w:rPr>
                <w:b/>
                <w:sz w:val="20"/>
              </w:rPr>
              <w:t>Vor dem Stat.lernen</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DD5C31" w:rsidRDefault="00DD5C31">
            <w:pPr>
              <w:jc w:val="center"/>
              <w:rPr>
                <w:b/>
                <w:sz w:val="20"/>
              </w:rPr>
            </w:pPr>
            <w:r>
              <w:rPr>
                <w:b/>
                <w:sz w:val="20"/>
              </w:rPr>
              <w:t>Nach Konsolidierung</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jc w:val="center"/>
              <w:rPr>
                <w:b/>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D5C31" w:rsidRDefault="00DD5C31">
            <w:pPr>
              <w:jc w:val="center"/>
              <w:rPr>
                <w:b/>
              </w:rPr>
            </w:pPr>
          </w:p>
        </w:tc>
      </w:tr>
      <w:tr w:rsidR="00DD5C31" w:rsidTr="00F211B9">
        <w:trPr>
          <w:trHeight w:val="770"/>
        </w:trPr>
        <w:tc>
          <w:tcPr>
            <w:tcW w:w="2802" w:type="dxa"/>
            <w:vMerge/>
            <w:tcBorders>
              <w:top w:val="single" w:sz="4" w:space="0" w:color="auto"/>
              <w:left w:val="single" w:sz="4" w:space="0" w:color="auto"/>
              <w:bottom w:val="single" w:sz="4" w:space="0" w:color="auto"/>
              <w:right w:val="single" w:sz="4" w:space="0" w:color="auto"/>
            </w:tcBorders>
            <w:vAlign w:val="center"/>
            <w:hideMark/>
          </w:tcPr>
          <w:p w:rsidR="00DD5C31" w:rsidRDefault="00DD5C31">
            <w:pPr>
              <w:rPr>
                <w:b/>
              </w:rPr>
            </w:pP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pPr>
              <w:jc w:val="center"/>
              <w:rPr>
                <w:sz w:val="28"/>
              </w:rPr>
            </w:pPr>
          </w:p>
          <w:p w:rsidR="00DD5C31" w:rsidRDefault="00DD5C31">
            <w:pPr>
              <w:jc w:val="center"/>
              <w:rPr>
                <w:sz w:val="36"/>
              </w:rPr>
            </w:pPr>
            <w:r>
              <w:rPr>
                <w:sz w:val="36"/>
              </w:rPr>
              <w:t>+</w:t>
            </w:r>
          </w:p>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pPr>
              <w:jc w:val="center"/>
              <w:rPr>
                <w:sz w:val="28"/>
              </w:rPr>
            </w:pPr>
          </w:p>
          <w:p w:rsidR="00DD5C31" w:rsidRDefault="00DD5C31">
            <w:pPr>
              <w:jc w:val="center"/>
              <w:rPr>
                <w:sz w:val="36"/>
              </w:rPr>
            </w:pPr>
            <w:r>
              <w:rPr>
                <w:sz w:val="36"/>
              </w:rPr>
              <w:t>o</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D5C31" w:rsidRDefault="00DD5C31">
            <w:pPr>
              <w:jc w:val="center"/>
              <w:rPr>
                <w:sz w:val="28"/>
              </w:rPr>
            </w:pPr>
          </w:p>
          <w:p w:rsidR="00DD5C31" w:rsidRDefault="00DD5C31">
            <w:pPr>
              <w:jc w:val="center"/>
              <w:rPr>
                <w:sz w:val="36"/>
              </w:rPr>
            </w:pPr>
            <w:r>
              <w:rPr>
                <w:sz w:val="36"/>
              </w:rPr>
              <w:t>-</w:t>
            </w:r>
          </w:p>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pPr>
              <w:jc w:val="center"/>
              <w:rPr>
                <w:sz w:val="28"/>
              </w:rPr>
            </w:pPr>
          </w:p>
          <w:p w:rsidR="00DD5C31" w:rsidRDefault="00DD5C31">
            <w:pPr>
              <w:jc w:val="center"/>
              <w:rPr>
                <w:sz w:val="36"/>
              </w:rPr>
            </w:pPr>
            <w:r>
              <w:rPr>
                <w:sz w:val="36"/>
              </w:rPr>
              <w:t>+</w:t>
            </w:r>
          </w:p>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pPr>
              <w:jc w:val="center"/>
              <w:rPr>
                <w:sz w:val="28"/>
              </w:rPr>
            </w:pPr>
          </w:p>
          <w:p w:rsidR="00DD5C31" w:rsidRDefault="00DD5C31">
            <w:pPr>
              <w:jc w:val="center"/>
              <w:rPr>
                <w:sz w:val="36"/>
              </w:rPr>
            </w:pPr>
            <w:r>
              <w:rPr>
                <w:sz w:val="36"/>
              </w:rPr>
              <w:t>o</w:t>
            </w:r>
          </w:p>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DD5C31" w:rsidRDefault="00DD5C31">
            <w:pPr>
              <w:jc w:val="center"/>
              <w:rPr>
                <w:sz w:val="28"/>
              </w:rPr>
            </w:pPr>
          </w:p>
          <w:p w:rsidR="00DD5C31" w:rsidRDefault="00DD5C31">
            <w:pPr>
              <w:jc w:val="center"/>
              <w:rPr>
                <w:sz w:val="36"/>
              </w:rPr>
            </w:pPr>
            <w:r>
              <w:rPr>
                <w:sz w:val="36"/>
              </w:rPr>
              <w:t>-</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pPr>
              <w:jc w:val="center"/>
              <w:rPr>
                <w:noProof/>
                <w:sz w:val="28"/>
                <w:lang w:eastAsia="de-DE"/>
              </w:rPr>
            </w:pPr>
          </w:p>
          <w:p w:rsidR="00DD5C31" w:rsidRDefault="00DD5C31">
            <w:pPr>
              <w:jc w:val="center"/>
              <w:rPr>
                <w:noProof/>
                <w:sz w:val="36"/>
                <w:lang w:eastAsia="de-DE"/>
              </w:rPr>
            </w:pPr>
            <w:r>
              <w:rPr>
                <w:noProof/>
                <w:sz w:val="36"/>
                <w:lang w:eastAsia="de-DE"/>
              </w:rPr>
              <w:t>+</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pPr>
              <w:jc w:val="center"/>
              <w:rPr>
                <w:noProof/>
                <w:sz w:val="28"/>
                <w:lang w:eastAsia="de-DE"/>
              </w:rPr>
            </w:pPr>
          </w:p>
          <w:p w:rsidR="00DD5C31" w:rsidRDefault="00DD5C31">
            <w:pPr>
              <w:jc w:val="center"/>
              <w:rPr>
                <w:noProof/>
                <w:sz w:val="36"/>
                <w:lang w:eastAsia="de-DE"/>
              </w:rPr>
            </w:pPr>
            <w:r>
              <w:rPr>
                <w:noProof/>
                <w:sz w:val="36"/>
                <w:lang w:eastAsia="de-DE"/>
              </w:rPr>
              <w:t>o</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DD5C31" w:rsidRDefault="00DD5C31">
            <w:pPr>
              <w:jc w:val="center"/>
              <w:rPr>
                <w:noProof/>
                <w:sz w:val="28"/>
                <w:lang w:eastAsia="de-DE"/>
              </w:rPr>
            </w:pPr>
          </w:p>
          <w:p w:rsidR="00DD5C31" w:rsidRDefault="00DD5C31">
            <w:pPr>
              <w:jc w:val="center"/>
              <w:rPr>
                <w:noProof/>
                <w:sz w:val="36"/>
                <w:lang w:eastAsia="de-DE"/>
              </w:rPr>
            </w:pPr>
            <w:r>
              <w:rPr>
                <w:noProof/>
                <w:sz w:val="36"/>
                <w:lang w:eastAsia="de-DE"/>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jc w:val="center"/>
              <w:rPr>
                <w:noProof/>
                <w:color w:val="244061" w:themeColor="accent1" w:themeShade="80"/>
                <w:sz w:val="20"/>
                <w:lang w:eastAsia="de-DE"/>
              </w:rPr>
            </w:pPr>
            <w:r>
              <w:rPr>
                <w:noProof/>
                <w:color w:val="244061" w:themeColor="accent1" w:themeShade="80"/>
                <w:sz w:val="18"/>
                <w:lang w:eastAsia="de-DE"/>
              </w:rPr>
              <w:t>Pflicht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C31" w:rsidRDefault="00DD5C31">
            <w:pPr>
              <w:jc w:val="center"/>
              <w:rPr>
                <w:noProof/>
                <w:color w:val="4F6228" w:themeColor="accent3" w:themeShade="80"/>
                <w:sz w:val="18"/>
                <w:lang w:eastAsia="de-DE"/>
              </w:rPr>
            </w:pPr>
            <w:r>
              <w:rPr>
                <w:noProof/>
                <w:color w:val="4F6228" w:themeColor="accent3" w:themeShade="80"/>
                <w:sz w:val="18"/>
                <w:lang w:eastAsia="de-DE"/>
              </w:rPr>
              <w:t>Wahl</w:t>
            </w:r>
          </w:p>
        </w:tc>
      </w:tr>
      <w:tr w:rsidR="00F211B9" w:rsidTr="00F211B9">
        <w:trPr>
          <w:trHeight w:val="544"/>
        </w:trPr>
        <w:tc>
          <w:tcPr>
            <w:tcW w:w="2802" w:type="dxa"/>
            <w:tcBorders>
              <w:top w:val="single" w:sz="4" w:space="0" w:color="auto"/>
              <w:left w:val="single" w:sz="4" w:space="0" w:color="auto"/>
              <w:bottom w:val="single" w:sz="4" w:space="0" w:color="auto"/>
              <w:right w:val="single" w:sz="4" w:space="0" w:color="auto"/>
            </w:tcBorders>
          </w:tcPr>
          <w:p w:rsidR="00F211B9" w:rsidRDefault="00F211B9" w:rsidP="0067728C">
            <w:pPr>
              <w:rPr>
                <w:color w:val="FF0000"/>
                <w:sz w:val="20"/>
              </w:rPr>
            </w:pPr>
            <w:r>
              <w:rPr>
                <w:sz w:val="20"/>
              </w:rPr>
              <w:t xml:space="preserve">…den inneren Wert des Bezugsrechts bei einer     </w:t>
            </w:r>
            <w:r>
              <w:rPr>
                <w:color w:val="FF0000"/>
                <w:sz w:val="20"/>
              </w:rPr>
              <w:t xml:space="preserve">18 </w:t>
            </w:r>
            <w:r>
              <w:rPr>
                <w:sz w:val="20"/>
              </w:rPr>
              <w:t xml:space="preserve">Kapitalerhöhung berechnen. </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F211B9" w:rsidRDefault="00F211B9">
            <w:pPr>
              <w:rPr>
                <w:color w:val="244061" w:themeColor="accent1" w:themeShade="80"/>
                <w:sz w:val="20"/>
              </w:rPr>
            </w:pPr>
            <w:r>
              <w:rPr>
                <w:color w:val="244061" w:themeColor="accent1" w:themeShade="80"/>
                <w:sz w:val="20"/>
              </w:rPr>
              <w:t>P1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F211B9" w:rsidRDefault="00F211B9">
            <w:pPr>
              <w:rPr>
                <w:color w:val="4F6228" w:themeColor="accent3" w:themeShade="80"/>
                <w:sz w:val="20"/>
              </w:rPr>
            </w:pPr>
            <w:r>
              <w:rPr>
                <w:color w:val="4F6228" w:themeColor="accent3" w:themeShade="80"/>
                <w:sz w:val="20"/>
              </w:rPr>
              <w:t>W4</w:t>
            </w:r>
          </w:p>
        </w:tc>
      </w:tr>
      <w:tr w:rsidR="00F211B9" w:rsidTr="00F211B9">
        <w:trPr>
          <w:trHeight w:val="544"/>
        </w:trPr>
        <w:tc>
          <w:tcPr>
            <w:tcW w:w="2802" w:type="dxa"/>
            <w:tcBorders>
              <w:top w:val="single" w:sz="4" w:space="0" w:color="auto"/>
              <w:left w:val="single" w:sz="4" w:space="0" w:color="auto"/>
              <w:bottom w:val="single" w:sz="4" w:space="0" w:color="auto"/>
              <w:right w:val="single" w:sz="4" w:space="0" w:color="auto"/>
            </w:tcBorders>
            <w:hideMark/>
          </w:tcPr>
          <w:p w:rsidR="00F211B9" w:rsidRDefault="00F211B9">
            <w:pPr>
              <w:rPr>
                <w:sz w:val="20"/>
              </w:rPr>
            </w:pPr>
            <w:r>
              <w:rPr>
                <w:sz w:val="20"/>
              </w:rPr>
              <w:t xml:space="preserve">…das Wesen des Bezugs-rechts erklären.                </w:t>
            </w:r>
            <w:r>
              <w:rPr>
                <w:color w:val="FF0000"/>
                <w:sz w:val="20"/>
              </w:rPr>
              <w:t>19</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244061" w:themeColor="accent1" w:themeShade="80"/>
                <w:sz w:val="20"/>
              </w:rPr>
            </w:pPr>
            <w:r>
              <w:rPr>
                <w:color w:val="244061" w:themeColor="accent1" w:themeShade="80"/>
                <w:sz w:val="20"/>
              </w:rPr>
              <w:t>P1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4F6228" w:themeColor="accent3" w:themeShade="80"/>
                <w:sz w:val="20"/>
              </w:rPr>
            </w:pPr>
            <w:r>
              <w:rPr>
                <w:color w:val="4F6228" w:themeColor="accent3" w:themeShade="80"/>
                <w:sz w:val="20"/>
              </w:rPr>
              <w:t>W4</w:t>
            </w:r>
          </w:p>
        </w:tc>
      </w:tr>
      <w:tr w:rsidR="00F211B9" w:rsidTr="00F211B9">
        <w:trPr>
          <w:trHeight w:val="612"/>
        </w:trPr>
        <w:tc>
          <w:tcPr>
            <w:tcW w:w="2802" w:type="dxa"/>
            <w:tcBorders>
              <w:top w:val="single" w:sz="4" w:space="0" w:color="auto"/>
              <w:left w:val="single" w:sz="4" w:space="0" w:color="auto"/>
              <w:bottom w:val="single" w:sz="4" w:space="0" w:color="auto"/>
              <w:right w:val="single" w:sz="4" w:space="0" w:color="auto"/>
            </w:tcBorders>
            <w:hideMark/>
          </w:tcPr>
          <w:p w:rsidR="00F211B9" w:rsidRDefault="00F211B9">
            <w:pPr>
              <w:rPr>
                <w:sz w:val="20"/>
              </w:rPr>
            </w:pPr>
            <w:r>
              <w:rPr>
                <w:sz w:val="20"/>
              </w:rPr>
              <w:t xml:space="preserve">…das Wesen der vinkulierten Namensaktie erklären.                           </w:t>
            </w:r>
            <w:r>
              <w:rPr>
                <w:color w:val="FF0000"/>
                <w:sz w:val="20"/>
              </w:rPr>
              <w:t>20</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244061" w:themeColor="accent1" w:themeShade="80"/>
                <w:sz w:val="20"/>
              </w:rPr>
            </w:pPr>
            <w:r>
              <w:rPr>
                <w:color w:val="244061" w:themeColor="accent1" w:themeShade="80"/>
                <w:sz w:val="20"/>
              </w:rPr>
              <w:t>P3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F211B9" w:rsidRDefault="00F211B9">
            <w:pPr>
              <w:rPr>
                <w:color w:val="4F6228" w:themeColor="accent3" w:themeShade="80"/>
                <w:sz w:val="20"/>
              </w:rPr>
            </w:pPr>
          </w:p>
        </w:tc>
      </w:tr>
      <w:tr w:rsidR="00F211B9" w:rsidTr="00F211B9">
        <w:trPr>
          <w:trHeight w:val="490"/>
        </w:trPr>
        <w:tc>
          <w:tcPr>
            <w:tcW w:w="2802" w:type="dxa"/>
            <w:tcBorders>
              <w:top w:val="single" w:sz="4" w:space="0" w:color="auto"/>
              <w:left w:val="single" w:sz="4" w:space="0" w:color="auto"/>
              <w:bottom w:val="single" w:sz="4" w:space="0" w:color="auto"/>
              <w:right w:val="single" w:sz="4" w:space="0" w:color="auto"/>
            </w:tcBorders>
            <w:hideMark/>
          </w:tcPr>
          <w:p w:rsidR="00F211B9" w:rsidRDefault="00F211B9">
            <w:pPr>
              <w:rPr>
                <w:sz w:val="20"/>
              </w:rPr>
            </w:pPr>
            <w:r>
              <w:rPr>
                <w:sz w:val="20"/>
              </w:rPr>
              <w:t xml:space="preserve">…die Motive für die Kapital-anlage in Aktien erklären. </w:t>
            </w:r>
            <w:r>
              <w:rPr>
                <w:color w:val="FF0000"/>
                <w:sz w:val="20"/>
              </w:rPr>
              <w:t>21</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244061" w:themeColor="accent1" w:themeShade="80"/>
                <w:sz w:val="20"/>
              </w:rPr>
            </w:pPr>
            <w:r>
              <w:rPr>
                <w:color w:val="244061" w:themeColor="accent1" w:themeShade="80"/>
                <w:sz w:val="20"/>
              </w:rPr>
              <w:t>P4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4F6228" w:themeColor="accent3" w:themeShade="80"/>
                <w:sz w:val="20"/>
              </w:rPr>
            </w:pPr>
            <w:r>
              <w:rPr>
                <w:color w:val="4F6228" w:themeColor="accent3" w:themeShade="80"/>
                <w:sz w:val="20"/>
              </w:rPr>
              <w:t>W2</w:t>
            </w:r>
          </w:p>
        </w:tc>
      </w:tr>
      <w:tr w:rsidR="00F211B9" w:rsidTr="00F211B9">
        <w:trPr>
          <w:trHeight w:val="770"/>
        </w:trPr>
        <w:tc>
          <w:tcPr>
            <w:tcW w:w="2802" w:type="dxa"/>
            <w:tcBorders>
              <w:top w:val="single" w:sz="4" w:space="0" w:color="auto"/>
              <w:left w:val="single" w:sz="4" w:space="0" w:color="auto"/>
              <w:bottom w:val="single" w:sz="4" w:space="0" w:color="auto"/>
              <w:right w:val="single" w:sz="4" w:space="0" w:color="auto"/>
            </w:tcBorders>
            <w:hideMark/>
          </w:tcPr>
          <w:p w:rsidR="00F211B9" w:rsidRDefault="00F211B9">
            <w:pPr>
              <w:rPr>
                <w:sz w:val="20"/>
              </w:rPr>
            </w:pPr>
            <w:r>
              <w:rPr>
                <w:sz w:val="20"/>
              </w:rPr>
              <w:t xml:space="preserve">…erklären, wie ein Kaufvertrag über Aktien an der Börse zustande kommt.  </w:t>
            </w:r>
          </w:p>
          <w:p w:rsidR="00F211B9" w:rsidRDefault="00F211B9">
            <w:pPr>
              <w:rPr>
                <w:sz w:val="20"/>
              </w:rPr>
            </w:pPr>
            <w:r>
              <w:rPr>
                <w:sz w:val="20"/>
              </w:rPr>
              <w:t xml:space="preserve">                                          </w:t>
            </w:r>
            <w:r>
              <w:rPr>
                <w:color w:val="FF0000"/>
                <w:sz w:val="20"/>
              </w:rPr>
              <w:t>22</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244061" w:themeColor="accent1" w:themeShade="80"/>
                <w:sz w:val="20"/>
              </w:rPr>
            </w:pPr>
            <w:r>
              <w:rPr>
                <w:color w:val="244061" w:themeColor="accent1" w:themeShade="80"/>
                <w:sz w:val="20"/>
              </w:rPr>
              <w:t>P5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F211B9" w:rsidRDefault="00F211B9">
            <w:pPr>
              <w:rPr>
                <w:color w:val="4F6228" w:themeColor="accent3" w:themeShade="80"/>
                <w:sz w:val="20"/>
              </w:rPr>
            </w:pPr>
          </w:p>
        </w:tc>
      </w:tr>
      <w:tr w:rsidR="00F211B9" w:rsidTr="00F211B9">
        <w:trPr>
          <w:trHeight w:val="770"/>
        </w:trPr>
        <w:tc>
          <w:tcPr>
            <w:tcW w:w="2802" w:type="dxa"/>
            <w:tcBorders>
              <w:top w:val="single" w:sz="4" w:space="0" w:color="auto"/>
              <w:left w:val="single" w:sz="4" w:space="0" w:color="auto"/>
              <w:bottom w:val="single" w:sz="4" w:space="0" w:color="auto"/>
              <w:right w:val="single" w:sz="4" w:space="0" w:color="auto"/>
            </w:tcBorders>
            <w:hideMark/>
          </w:tcPr>
          <w:p w:rsidR="00F211B9" w:rsidRDefault="00F211B9">
            <w:pPr>
              <w:rPr>
                <w:sz w:val="20"/>
              </w:rPr>
            </w:pPr>
            <w:r>
              <w:rPr>
                <w:sz w:val="20"/>
              </w:rPr>
              <w:t xml:space="preserve">…erklären welches Organ der AG mit welcher Mehrheit über eine Kapitalerhöhung beschließt.                        </w:t>
            </w:r>
            <w:r>
              <w:rPr>
                <w:color w:val="FF0000"/>
                <w:sz w:val="20"/>
              </w:rPr>
              <w:t>23</w:t>
            </w:r>
          </w:p>
        </w:tc>
        <w:tc>
          <w:tcPr>
            <w:tcW w:w="63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F211B9" w:rsidRDefault="00F211B9"/>
        </w:tc>
        <w:tc>
          <w:tcPr>
            <w:tcW w:w="712"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rsidR="00F211B9" w:rsidRDefault="00F211B9"/>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211B9" w:rsidRDefault="00F211B9"/>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211B9" w:rsidRDefault="00F211B9">
            <w:pPr>
              <w:rPr>
                <w:color w:val="244061" w:themeColor="accent1" w:themeShade="80"/>
                <w:sz w:val="20"/>
              </w:rPr>
            </w:pPr>
            <w:r>
              <w:rPr>
                <w:color w:val="244061" w:themeColor="accent1" w:themeShade="80"/>
                <w:sz w:val="20"/>
              </w:rPr>
              <w:t>P1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F211B9" w:rsidRDefault="00F211B9">
            <w:pPr>
              <w:rPr>
                <w:color w:val="4F6228" w:themeColor="accent3" w:themeShade="80"/>
                <w:sz w:val="20"/>
              </w:rPr>
            </w:pPr>
          </w:p>
        </w:tc>
      </w:tr>
    </w:tbl>
    <w:p w:rsidR="00DD5C31" w:rsidRDefault="00DD5C31" w:rsidP="00DD5C31">
      <w:pPr>
        <w:jc w:val="both"/>
      </w:pPr>
    </w:p>
    <w:p w:rsidR="00DD5C31" w:rsidRDefault="00DD5C31" w:rsidP="00DD5C31">
      <w:pPr>
        <w:jc w:val="both"/>
        <w:rPr>
          <w:u w:val="single"/>
        </w:rPr>
      </w:pPr>
      <w:r>
        <w:rPr>
          <w:u w:val="single"/>
        </w:rPr>
        <w:t>Legende zur Fähigkeit „erklären“:</w:t>
      </w:r>
    </w:p>
    <w:p w:rsidR="00DD5C31" w:rsidRDefault="00DD5C31" w:rsidP="00DD5C31">
      <w:pPr>
        <w:jc w:val="both"/>
      </w:pPr>
    </w:p>
    <w:p w:rsidR="00DD5C31" w:rsidRDefault="00DD5C31" w:rsidP="00DD5C31">
      <w:pPr>
        <w:jc w:val="both"/>
      </w:pPr>
      <w:r>
        <w:t>„Erklären“ bedeutet im Rahmen meiner Fachkompetenz als Bankkaufmann/-frau die Fähigkeiten zu haben, Kunden mit dem Einsatz von Verkaufshilfen etwas grafisch zu visualisieren, Fachbegriffe nur soweit notwendig einzusetzen und diese durch Beispiele und Synonyme zu verdeutlichen. Dabei wird das kundenbezogen richtige sprachliche Niveau verwendet (z. B. Schachtelsätze nur bei sehr gebildetem Klientel oder kurze Sätze bei Jugendlichen) und die Sprachlichkeit durch Visuelles und Beispielrechnungen ergänzt und an den geeigneten Stelle im Beratungsgespräch eingesetzt (z. B. nach der Kundenbedarfsanalyse).</w:t>
      </w:r>
    </w:p>
    <w:p w:rsidR="00DD5C31" w:rsidRDefault="00DD5C31" w:rsidP="00DD5C31">
      <w:pPr>
        <w:jc w:val="both"/>
      </w:pPr>
    </w:p>
    <w:p w:rsidR="00DD5C31" w:rsidRDefault="00DD5C31" w:rsidP="00DD5C31">
      <w:pPr>
        <w:jc w:val="both"/>
      </w:pPr>
    </w:p>
    <w:p w:rsidR="00DD5C31" w:rsidRDefault="00DD5C31" w:rsidP="007B10C0"/>
    <w:sectPr w:rsidR="00DD5C31" w:rsidSect="00AD1985">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370" w:rsidRDefault="00A24370" w:rsidP="003A587E">
      <w:r>
        <w:separator/>
      </w:r>
    </w:p>
  </w:endnote>
  <w:endnote w:type="continuationSeparator" w:id="0">
    <w:p w:rsidR="00A24370" w:rsidRDefault="00A24370" w:rsidP="003A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DB" w:rsidRDefault="004265DB" w:rsidP="004265DB">
    <w:pPr>
      <w:pStyle w:val="Fuzeile"/>
    </w:pPr>
    <w:r>
      <w:rPr>
        <w:noProof/>
        <w:lang w:eastAsia="de-DE"/>
      </w:rPr>
      <mc:AlternateContent>
        <mc:Choice Requires="wps">
          <w:drawing>
            <wp:anchor distT="4294967295" distB="4294967295" distL="114300" distR="114300" simplePos="0" relativeHeight="251659264" behindDoc="0" locked="0" layoutInCell="1" allowOverlap="1" wp14:anchorId="6224D0EA" wp14:editId="396F9B5E">
              <wp:simplePos x="0" y="0"/>
              <wp:positionH relativeFrom="column">
                <wp:posOffset>41910</wp:posOffset>
              </wp:positionH>
              <wp:positionV relativeFrom="paragraph">
                <wp:posOffset>92709</wp:posOffset>
              </wp:positionV>
              <wp:extent cx="6000750" cy="0"/>
              <wp:effectExtent l="0" t="0" r="19050" b="1905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75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Gerade Verbindung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3pt,7.3pt" to="475.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" strokecolor="#a5a5a5 [2092]">
              <o:lock v:ext="edit" shapetype="f"/>
            </v:line>
          </w:pict>
        </mc:Fallback>
      </mc:AlternateContent>
    </w:r>
  </w:p>
  <w:p w:rsidR="004265DB" w:rsidRPr="00357B92" w:rsidRDefault="004265DB" w:rsidP="004265DB">
    <w:pPr>
      <w:pStyle w:val="Fuzeile"/>
      <w:rPr>
        <w:color w:val="A6A6A6" w:themeColor="background1" w:themeShade="A6"/>
        <w:sz w:val="18"/>
      </w:rPr>
    </w:pPr>
    <w:r w:rsidRPr="00357B92">
      <w:rPr>
        <w:color w:val="A6A6A6" w:themeColor="background1" w:themeShade="A6"/>
        <w:sz w:val="18"/>
      </w:rPr>
      <w:t>Aktien – Dr. Kassner</w:t>
    </w:r>
    <w:r w:rsidRPr="00357B92">
      <w:rPr>
        <w:color w:val="A6A6A6" w:themeColor="background1" w:themeShade="A6"/>
        <w:sz w:val="18"/>
      </w:rPr>
      <w:tab/>
    </w:r>
    <w:sdt>
      <w:sdtPr>
        <w:rPr>
          <w:color w:val="A6A6A6" w:themeColor="background1" w:themeShade="A6"/>
          <w:sz w:val="18"/>
        </w:rPr>
        <w:id w:val="1223866148"/>
        <w:docPartObj>
          <w:docPartGallery w:val="Page Numbers (Bottom of Page)"/>
          <w:docPartUnique/>
        </w:docPartObj>
      </w:sdtPr>
      <w:sdtContent>
        <w:r w:rsidRPr="00357B92">
          <w:rPr>
            <w:color w:val="A6A6A6" w:themeColor="background1" w:themeShade="A6"/>
            <w:sz w:val="18"/>
          </w:rPr>
          <w:fldChar w:fldCharType="begin"/>
        </w:r>
        <w:r w:rsidRPr="00357B92">
          <w:rPr>
            <w:color w:val="A6A6A6" w:themeColor="background1" w:themeShade="A6"/>
            <w:sz w:val="18"/>
          </w:rPr>
          <w:instrText>PAGE   \* MERGEFORMAT</w:instrText>
        </w:r>
        <w:r w:rsidRPr="00357B92">
          <w:rPr>
            <w:color w:val="A6A6A6" w:themeColor="background1" w:themeShade="A6"/>
            <w:sz w:val="18"/>
          </w:rPr>
          <w:fldChar w:fldCharType="separate"/>
        </w:r>
        <w:r w:rsidR="00A24370">
          <w:rPr>
            <w:noProof/>
            <w:color w:val="A6A6A6" w:themeColor="background1" w:themeShade="A6"/>
            <w:sz w:val="18"/>
          </w:rPr>
          <w:t>1</w:t>
        </w:r>
        <w:r w:rsidRPr="00357B92">
          <w:rPr>
            <w:color w:val="A6A6A6" w:themeColor="background1" w:themeShade="A6"/>
            <w:sz w:val="18"/>
          </w:rPr>
          <w:fldChar w:fldCharType="end"/>
        </w:r>
        <w:r>
          <w:rPr>
            <w:color w:val="A6A6A6" w:themeColor="background1" w:themeShade="A6"/>
            <w:sz w:val="18"/>
          </w:rPr>
          <w:tab/>
        </w:r>
        <w:r>
          <w:rPr>
            <w:color w:val="A6A6A6" w:themeColor="background1" w:themeShade="A6"/>
            <w:sz w:val="18"/>
          </w:rPr>
          <w:t>Pädagogische Diagnose-Fachkompetenzen</w:t>
        </w:r>
      </w:sdtContent>
    </w:sdt>
  </w:p>
  <w:p w:rsidR="003A587E" w:rsidRDefault="003A58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370" w:rsidRDefault="00A24370" w:rsidP="003A587E">
      <w:r>
        <w:separator/>
      </w:r>
    </w:p>
  </w:footnote>
  <w:footnote w:type="continuationSeparator" w:id="0">
    <w:p w:rsidR="00A24370" w:rsidRDefault="00A24370" w:rsidP="003A5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0" w:type="dxa"/>
      <w:tblInd w:w="70" w:type="dxa"/>
      <w:tblBorders>
        <w:top w:val="dotted" w:sz="6" w:space="0" w:color="auto"/>
        <w:bottom w:val="dotted" w:sz="6" w:space="0" w:color="auto"/>
      </w:tblBorders>
      <w:tblLayout w:type="fixed"/>
      <w:tblCellMar>
        <w:left w:w="70" w:type="dxa"/>
        <w:right w:w="70" w:type="dxa"/>
      </w:tblCellMar>
      <w:tblLook w:val="04A0" w:firstRow="1" w:lastRow="0" w:firstColumn="1" w:lastColumn="0" w:noHBand="0" w:noVBand="1"/>
    </w:tblPr>
    <w:tblGrid>
      <w:gridCol w:w="3827"/>
      <w:gridCol w:w="992"/>
      <w:gridCol w:w="2693"/>
      <w:gridCol w:w="1559"/>
      <w:gridCol w:w="709"/>
    </w:tblGrid>
    <w:tr w:rsidR="004265DB" w:rsidTr="00D42122">
      <w:trPr>
        <w:trHeight w:val="397"/>
      </w:trPr>
      <w:tc>
        <w:tcPr>
          <w:tcW w:w="3828" w:type="dxa"/>
          <w:tcBorders>
            <w:top w:val="single" w:sz="4" w:space="0" w:color="auto"/>
            <w:left w:val="nil"/>
            <w:bottom w:val="single" w:sz="4" w:space="0" w:color="auto"/>
            <w:right w:val="nil"/>
          </w:tcBorders>
          <w:hideMark/>
        </w:tcPr>
        <w:p w:rsidR="004265DB" w:rsidRDefault="004265DB" w:rsidP="00D42122">
          <w:pPr>
            <w:spacing w:before="120" w:line="276" w:lineRule="auto"/>
          </w:pPr>
          <w:r>
            <w:rPr>
              <w:sz w:val="22"/>
            </w:rPr>
            <w:t>Aktien - Stationenlernen</w:t>
          </w:r>
        </w:p>
      </w:tc>
      <w:tc>
        <w:tcPr>
          <w:tcW w:w="992" w:type="dxa"/>
          <w:tcBorders>
            <w:top w:val="single" w:sz="4" w:space="0" w:color="auto"/>
            <w:left w:val="nil"/>
            <w:bottom w:val="single" w:sz="4" w:space="0" w:color="auto"/>
            <w:right w:val="nil"/>
          </w:tcBorders>
          <w:hideMark/>
        </w:tcPr>
        <w:p w:rsidR="004265DB" w:rsidRDefault="004265DB" w:rsidP="00D42122">
          <w:pPr>
            <w:spacing w:before="120" w:line="276" w:lineRule="auto"/>
          </w:pPr>
          <w:r>
            <w:rPr>
              <w:sz w:val="22"/>
            </w:rPr>
            <w:t>SWL</w:t>
          </w:r>
        </w:p>
      </w:tc>
      <w:tc>
        <w:tcPr>
          <w:tcW w:w="2693" w:type="dxa"/>
          <w:tcBorders>
            <w:top w:val="single" w:sz="4" w:space="0" w:color="auto"/>
            <w:left w:val="nil"/>
            <w:bottom w:val="single" w:sz="4" w:space="0" w:color="auto"/>
            <w:right w:val="nil"/>
          </w:tcBorders>
          <w:hideMark/>
        </w:tcPr>
        <w:p w:rsidR="004265DB" w:rsidRDefault="004265DB" w:rsidP="00D42122">
          <w:pPr>
            <w:spacing w:before="120" w:line="276" w:lineRule="auto"/>
          </w:pPr>
          <w:r>
            <w:rPr>
              <w:sz w:val="22"/>
            </w:rPr>
            <w:t>Dr. Dieter Kassner</w:t>
          </w:r>
        </w:p>
      </w:tc>
      <w:tc>
        <w:tcPr>
          <w:tcW w:w="1559" w:type="dxa"/>
          <w:tcBorders>
            <w:top w:val="single" w:sz="4" w:space="0" w:color="auto"/>
            <w:left w:val="nil"/>
            <w:bottom w:val="single" w:sz="4" w:space="0" w:color="auto"/>
            <w:right w:val="nil"/>
          </w:tcBorders>
          <w:hideMark/>
        </w:tcPr>
        <w:p w:rsidR="004265DB" w:rsidRDefault="004265DB" w:rsidP="00D42122">
          <w:pPr>
            <w:spacing w:before="120" w:line="276" w:lineRule="auto"/>
          </w:pPr>
          <w:r>
            <w:rPr>
              <w:sz w:val="22"/>
            </w:rPr>
            <w:t>……..…2014</w:t>
          </w:r>
        </w:p>
      </w:tc>
      <w:tc>
        <w:tcPr>
          <w:tcW w:w="709" w:type="dxa"/>
          <w:tcBorders>
            <w:top w:val="single" w:sz="4" w:space="0" w:color="auto"/>
            <w:left w:val="nil"/>
            <w:bottom w:val="single" w:sz="4" w:space="0" w:color="auto"/>
            <w:right w:val="nil"/>
          </w:tcBorders>
          <w:hideMark/>
        </w:tcPr>
        <w:p w:rsidR="004265DB" w:rsidRDefault="004265DB" w:rsidP="00D42122">
          <w:pPr>
            <w:spacing w:before="120" w:line="276" w:lineRule="auto"/>
          </w:pPr>
        </w:p>
      </w:tc>
    </w:tr>
    <w:tr w:rsidR="004265DB" w:rsidTr="00D42122">
      <w:tc>
        <w:tcPr>
          <w:tcW w:w="3828" w:type="dxa"/>
          <w:tcBorders>
            <w:top w:val="single" w:sz="4" w:space="0" w:color="auto"/>
            <w:left w:val="nil"/>
            <w:bottom w:val="nil"/>
            <w:right w:val="nil"/>
          </w:tcBorders>
          <w:vAlign w:val="center"/>
          <w:hideMark/>
        </w:tcPr>
        <w:p w:rsidR="004265DB" w:rsidRDefault="004265DB" w:rsidP="00D42122">
          <w:pPr>
            <w:spacing w:line="276" w:lineRule="auto"/>
            <w:rPr>
              <w:sz w:val="14"/>
            </w:rPr>
          </w:pPr>
          <w:r>
            <w:rPr>
              <w:sz w:val="14"/>
            </w:rPr>
            <w:t>Thema</w:t>
          </w:r>
        </w:p>
      </w:tc>
      <w:tc>
        <w:tcPr>
          <w:tcW w:w="992" w:type="dxa"/>
          <w:tcBorders>
            <w:top w:val="single" w:sz="4" w:space="0" w:color="auto"/>
            <w:left w:val="nil"/>
            <w:bottom w:val="nil"/>
            <w:right w:val="nil"/>
          </w:tcBorders>
          <w:vAlign w:val="center"/>
          <w:hideMark/>
        </w:tcPr>
        <w:p w:rsidR="004265DB" w:rsidRDefault="004265DB" w:rsidP="00D42122">
          <w:pPr>
            <w:spacing w:line="276" w:lineRule="auto"/>
            <w:rPr>
              <w:sz w:val="14"/>
            </w:rPr>
          </w:pPr>
          <w:r>
            <w:rPr>
              <w:sz w:val="14"/>
            </w:rPr>
            <w:t>Fach</w:t>
          </w:r>
        </w:p>
      </w:tc>
      <w:tc>
        <w:tcPr>
          <w:tcW w:w="2693" w:type="dxa"/>
          <w:tcBorders>
            <w:top w:val="single" w:sz="4" w:space="0" w:color="auto"/>
            <w:left w:val="nil"/>
            <w:bottom w:val="nil"/>
            <w:right w:val="nil"/>
          </w:tcBorders>
          <w:vAlign w:val="center"/>
          <w:hideMark/>
        </w:tcPr>
        <w:p w:rsidR="004265DB" w:rsidRDefault="004265DB" w:rsidP="00D42122">
          <w:pPr>
            <w:spacing w:line="276" w:lineRule="auto"/>
            <w:rPr>
              <w:sz w:val="14"/>
            </w:rPr>
          </w:pPr>
          <w:r>
            <w:rPr>
              <w:sz w:val="14"/>
            </w:rPr>
            <w:t>Name</w:t>
          </w:r>
        </w:p>
      </w:tc>
      <w:tc>
        <w:tcPr>
          <w:tcW w:w="1559" w:type="dxa"/>
          <w:tcBorders>
            <w:top w:val="single" w:sz="4" w:space="0" w:color="auto"/>
            <w:left w:val="nil"/>
            <w:bottom w:val="nil"/>
            <w:right w:val="nil"/>
          </w:tcBorders>
          <w:vAlign w:val="center"/>
          <w:hideMark/>
        </w:tcPr>
        <w:p w:rsidR="004265DB" w:rsidRDefault="004265DB" w:rsidP="00D42122">
          <w:pPr>
            <w:spacing w:line="276" w:lineRule="auto"/>
            <w:rPr>
              <w:sz w:val="14"/>
            </w:rPr>
          </w:pPr>
          <w:r>
            <w:rPr>
              <w:sz w:val="14"/>
            </w:rPr>
            <w:t>Datum</w:t>
          </w:r>
        </w:p>
      </w:tc>
      <w:tc>
        <w:tcPr>
          <w:tcW w:w="709" w:type="dxa"/>
          <w:tcBorders>
            <w:top w:val="single" w:sz="4" w:space="0" w:color="auto"/>
            <w:left w:val="nil"/>
            <w:bottom w:val="nil"/>
            <w:right w:val="nil"/>
          </w:tcBorders>
          <w:vAlign w:val="center"/>
          <w:hideMark/>
        </w:tcPr>
        <w:p w:rsidR="004265DB" w:rsidRDefault="004265DB" w:rsidP="00D42122">
          <w:pPr>
            <w:spacing w:line="276" w:lineRule="auto"/>
            <w:rPr>
              <w:sz w:val="14"/>
            </w:rPr>
          </w:pPr>
          <w:r>
            <w:rPr>
              <w:sz w:val="14"/>
            </w:rPr>
            <w:t>Nr.</w:t>
          </w:r>
        </w:p>
      </w:tc>
    </w:tr>
  </w:tbl>
  <w:p w:rsidR="00F211B9" w:rsidRPr="004265DB" w:rsidRDefault="00F211B9">
    <w:pPr>
      <w:pStyle w:val="Kopfzeile"/>
      <w:rPr>
        <w:b/>
      </w:rPr>
    </w:pPr>
  </w:p>
  <w:p w:rsidR="003A587E" w:rsidRDefault="003A587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87E"/>
    <w:rsid w:val="000174FA"/>
    <w:rsid w:val="000E5B42"/>
    <w:rsid w:val="00111319"/>
    <w:rsid w:val="00120331"/>
    <w:rsid w:val="00135A4E"/>
    <w:rsid w:val="001A419F"/>
    <w:rsid w:val="00232CD8"/>
    <w:rsid w:val="002D1CD7"/>
    <w:rsid w:val="00386D43"/>
    <w:rsid w:val="003A587E"/>
    <w:rsid w:val="004141C2"/>
    <w:rsid w:val="004265DB"/>
    <w:rsid w:val="00441B75"/>
    <w:rsid w:val="004C221F"/>
    <w:rsid w:val="00531B1F"/>
    <w:rsid w:val="005D7BD3"/>
    <w:rsid w:val="005F4D4E"/>
    <w:rsid w:val="00650E02"/>
    <w:rsid w:val="00661905"/>
    <w:rsid w:val="006F5E0C"/>
    <w:rsid w:val="007B10C0"/>
    <w:rsid w:val="007B69F0"/>
    <w:rsid w:val="008256D7"/>
    <w:rsid w:val="00870877"/>
    <w:rsid w:val="0090621C"/>
    <w:rsid w:val="00930607"/>
    <w:rsid w:val="009B01F8"/>
    <w:rsid w:val="009C561A"/>
    <w:rsid w:val="009F356F"/>
    <w:rsid w:val="00A24370"/>
    <w:rsid w:val="00A26716"/>
    <w:rsid w:val="00A539EA"/>
    <w:rsid w:val="00A835B7"/>
    <w:rsid w:val="00AD1985"/>
    <w:rsid w:val="00AD2F98"/>
    <w:rsid w:val="00B17EFA"/>
    <w:rsid w:val="00C13A17"/>
    <w:rsid w:val="00C40C62"/>
    <w:rsid w:val="00CA4FAB"/>
    <w:rsid w:val="00D047DB"/>
    <w:rsid w:val="00DD5C31"/>
    <w:rsid w:val="00E1678C"/>
    <w:rsid w:val="00E23AED"/>
    <w:rsid w:val="00EA1E4C"/>
    <w:rsid w:val="00EC0F3C"/>
    <w:rsid w:val="00F211B9"/>
    <w:rsid w:val="00F661AB"/>
    <w:rsid w:val="00FF155E"/>
    <w:rsid w:val="00FF58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678C"/>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87E"/>
    <w:pPr>
      <w:tabs>
        <w:tab w:val="center" w:pos="4536"/>
        <w:tab w:val="right" w:pos="9072"/>
      </w:tabs>
    </w:pPr>
  </w:style>
  <w:style w:type="character" w:customStyle="1" w:styleId="KopfzeileZchn">
    <w:name w:val="Kopfzeile Zchn"/>
    <w:basedOn w:val="Absatz-Standardschriftart"/>
    <w:link w:val="Kopfzeile"/>
    <w:uiPriority w:val="99"/>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 w:type="table" w:styleId="Tabellenraster">
    <w:name w:val="Table Grid"/>
    <w:basedOn w:val="NormaleTabelle"/>
    <w:uiPriority w:val="59"/>
    <w:rsid w:val="00E23A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678C"/>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87E"/>
    <w:pPr>
      <w:tabs>
        <w:tab w:val="center" w:pos="4536"/>
        <w:tab w:val="right" w:pos="9072"/>
      </w:tabs>
    </w:pPr>
  </w:style>
  <w:style w:type="character" w:customStyle="1" w:styleId="KopfzeileZchn">
    <w:name w:val="Kopfzeile Zchn"/>
    <w:basedOn w:val="Absatz-Standardschriftart"/>
    <w:link w:val="Kopfzeile"/>
    <w:uiPriority w:val="99"/>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 w:type="table" w:styleId="Tabellenraster">
    <w:name w:val="Table Grid"/>
    <w:basedOn w:val="NormaleTabelle"/>
    <w:uiPriority w:val="59"/>
    <w:rsid w:val="00E23A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4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Dieter Kassner</dc:creator>
  <cp:lastModifiedBy>Dr. Dieter Kassner</cp:lastModifiedBy>
  <cp:revision>6</cp:revision>
  <cp:lastPrinted>2011-07-26T07:25:00Z</cp:lastPrinted>
  <dcterms:created xsi:type="dcterms:W3CDTF">2013-08-27T09:19:00Z</dcterms:created>
  <dcterms:modified xsi:type="dcterms:W3CDTF">2014-05-01T14:19:00Z</dcterms:modified>
</cp:coreProperties>
</file>