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D6" w:rsidRDefault="001428D6" w:rsidP="001428D6">
      <w:pPr>
        <w:jc w:val="both"/>
        <w:rPr>
          <w:u w:val="single"/>
        </w:rPr>
      </w:pPr>
    </w:p>
    <w:p w:rsidR="001428D6" w:rsidRDefault="001428D6" w:rsidP="001428D6">
      <w:pPr>
        <w:jc w:val="both"/>
        <w:rPr>
          <w:u w:val="single"/>
        </w:rPr>
      </w:pPr>
    </w:p>
    <w:p w:rsidR="001428D6" w:rsidRDefault="001428D6" w:rsidP="001428D6">
      <w:pPr>
        <w:jc w:val="center"/>
        <w:rPr>
          <w:sz w:val="28"/>
        </w:rPr>
      </w:pPr>
      <w:r>
        <w:rPr>
          <w:sz w:val="28"/>
        </w:rPr>
        <w:t>Pädagogische Diagnose</w:t>
      </w:r>
      <w:r w:rsidRPr="00D609A9">
        <w:rPr>
          <w:sz w:val="28"/>
        </w:rPr>
        <w:t xml:space="preserve"> </w:t>
      </w:r>
      <w:r>
        <w:rPr>
          <w:sz w:val="28"/>
        </w:rPr>
        <w:t>–</w:t>
      </w:r>
      <w:r w:rsidRPr="00D609A9">
        <w:rPr>
          <w:sz w:val="28"/>
        </w:rPr>
        <w:t xml:space="preserve"> Diagnosetabelle</w:t>
      </w:r>
      <w:r>
        <w:rPr>
          <w:sz w:val="28"/>
        </w:rPr>
        <w:t xml:space="preserve"> für </w:t>
      </w:r>
      <w:r w:rsidR="003A3F98">
        <w:rPr>
          <w:sz w:val="28"/>
        </w:rPr>
        <w:t>überfachliche</w:t>
      </w:r>
    </w:p>
    <w:p w:rsidR="003A3F98" w:rsidRPr="00D609A9" w:rsidRDefault="003A3F98" w:rsidP="001428D6">
      <w:pPr>
        <w:jc w:val="center"/>
        <w:rPr>
          <w:sz w:val="28"/>
        </w:rPr>
      </w:pPr>
      <w:r>
        <w:rPr>
          <w:sz w:val="28"/>
        </w:rPr>
        <w:t>Kompetenzen (Sozial- und Personalkompetenz)</w:t>
      </w:r>
    </w:p>
    <w:p w:rsidR="001428D6" w:rsidRDefault="001428D6" w:rsidP="001428D6"/>
    <w:p w:rsidR="001428D6" w:rsidRPr="00C41F7A" w:rsidRDefault="001428D6" w:rsidP="001428D6">
      <w:pPr>
        <w:rPr>
          <w:i/>
          <w:sz w:val="22"/>
          <w:u w:val="single"/>
        </w:rPr>
      </w:pPr>
      <w:r w:rsidRPr="00C41F7A">
        <w:rPr>
          <w:i/>
          <w:sz w:val="22"/>
          <w:u w:val="single"/>
        </w:rPr>
        <w:t>Arbeitsauftrag:</w:t>
      </w:r>
    </w:p>
    <w:p w:rsidR="001428D6" w:rsidRDefault="001428D6" w:rsidP="001428D6">
      <w:pPr>
        <w:rPr>
          <w:i/>
          <w:sz w:val="22"/>
        </w:rPr>
      </w:pPr>
      <w:r w:rsidRPr="00C41F7A">
        <w:rPr>
          <w:i/>
          <w:sz w:val="22"/>
        </w:rPr>
        <w:t xml:space="preserve">Bitte stellen Sie anhand </w:t>
      </w:r>
      <w:r>
        <w:rPr>
          <w:i/>
          <w:sz w:val="22"/>
        </w:rPr>
        <w:t xml:space="preserve">der nachfolgenden Tabelle </w:t>
      </w:r>
      <w:r w:rsidR="003A3F98">
        <w:rPr>
          <w:i/>
          <w:sz w:val="22"/>
        </w:rPr>
        <w:t>Ihre überfachlichen Fähigkeiten und Fertigkeiten nach den Lernprozessen im Rahmen des Unterrichtskonzepts „Aktien“ fest. Kreuzen Sie bitte „+ für ganz gut“, „0 für einigermaßen“ und „– für schlecht“ an.</w:t>
      </w:r>
    </w:p>
    <w:p w:rsidR="001428D6" w:rsidRDefault="001428D6" w:rsidP="001428D6">
      <w:pPr>
        <w:rPr>
          <w:i/>
          <w:sz w:val="22"/>
        </w:rPr>
      </w:pPr>
    </w:p>
    <w:p w:rsidR="003A3F98" w:rsidRPr="00C41F7A" w:rsidRDefault="003A3F98" w:rsidP="001428D6">
      <w:pPr>
        <w:rPr>
          <w:i/>
          <w:sz w:val="22"/>
        </w:rPr>
      </w:pPr>
    </w:p>
    <w:tbl>
      <w:tblPr>
        <w:tblStyle w:val="Tabellenraster"/>
        <w:tblW w:w="7513" w:type="dxa"/>
        <w:tblInd w:w="793" w:type="dxa"/>
        <w:tblLayout w:type="fixed"/>
        <w:tblLook w:val="04A0" w:firstRow="1" w:lastRow="0" w:firstColumn="1" w:lastColumn="0" w:noHBand="0" w:noVBand="1"/>
      </w:tblPr>
      <w:tblGrid>
        <w:gridCol w:w="4820"/>
        <w:gridCol w:w="992"/>
        <w:gridCol w:w="851"/>
        <w:gridCol w:w="850"/>
      </w:tblGrid>
      <w:tr w:rsidR="003A3F98" w:rsidTr="00A575DA">
        <w:tc>
          <w:tcPr>
            <w:tcW w:w="4820" w:type="dxa"/>
            <w:vMerge w:val="restart"/>
          </w:tcPr>
          <w:p w:rsidR="003A3F98" w:rsidRDefault="003A3F98" w:rsidP="0071759F">
            <w:pPr>
              <w:rPr>
                <w:b/>
              </w:rPr>
            </w:pPr>
            <w:r>
              <w:rPr>
                <w:b/>
              </w:rPr>
              <w:t>Ich kann nach den Lernprozessen im Rahmen des Unterrichtskonzepts „Aktien“…</w:t>
            </w:r>
          </w:p>
          <w:p w:rsidR="003A3F98" w:rsidRPr="009C561A" w:rsidRDefault="003A3F98" w:rsidP="0071759F">
            <w:pPr>
              <w:rPr>
                <w:b/>
              </w:rPr>
            </w:pPr>
          </w:p>
        </w:tc>
        <w:tc>
          <w:tcPr>
            <w:tcW w:w="2693" w:type="dxa"/>
            <w:gridSpan w:val="3"/>
            <w:shd w:val="clear" w:color="auto" w:fill="E5DFEC" w:themeFill="accent4" w:themeFillTint="33"/>
          </w:tcPr>
          <w:p w:rsidR="003A3F98" w:rsidRPr="00D05815" w:rsidRDefault="00A575DA" w:rsidP="0071759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Nach dem gesamten Unterrichtskonzept</w:t>
            </w:r>
          </w:p>
        </w:tc>
      </w:tr>
      <w:tr w:rsidR="003A3F98" w:rsidTr="00A575DA">
        <w:tc>
          <w:tcPr>
            <w:tcW w:w="4820" w:type="dxa"/>
            <w:vMerge/>
          </w:tcPr>
          <w:p w:rsidR="003A3F98" w:rsidRDefault="003A3F98" w:rsidP="0071759F"/>
        </w:tc>
        <w:tc>
          <w:tcPr>
            <w:tcW w:w="992" w:type="dxa"/>
            <w:shd w:val="clear" w:color="auto" w:fill="E5DFEC" w:themeFill="accent4" w:themeFillTint="33"/>
          </w:tcPr>
          <w:p w:rsidR="003A3F98" w:rsidRPr="009C167A" w:rsidRDefault="003A3F98" w:rsidP="0071759F">
            <w:pPr>
              <w:jc w:val="center"/>
              <w:rPr>
                <w:sz w:val="28"/>
              </w:rPr>
            </w:pPr>
          </w:p>
          <w:p w:rsidR="003A3F98" w:rsidRPr="009C167A" w:rsidRDefault="003A3F98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+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3A3F98" w:rsidRPr="009C167A" w:rsidRDefault="003A3F98" w:rsidP="0071759F">
            <w:pPr>
              <w:jc w:val="center"/>
              <w:rPr>
                <w:sz w:val="28"/>
              </w:rPr>
            </w:pPr>
          </w:p>
          <w:p w:rsidR="003A3F98" w:rsidRPr="009C167A" w:rsidRDefault="003A3F98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o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3A3F98" w:rsidRPr="009C167A" w:rsidRDefault="003A3F98" w:rsidP="0071759F">
            <w:pPr>
              <w:jc w:val="center"/>
              <w:rPr>
                <w:sz w:val="28"/>
              </w:rPr>
            </w:pPr>
          </w:p>
          <w:p w:rsidR="003A3F98" w:rsidRPr="009C167A" w:rsidRDefault="003A3F98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-</w:t>
            </w:r>
          </w:p>
        </w:tc>
      </w:tr>
      <w:tr w:rsidR="003A3F98" w:rsidTr="00A575DA">
        <w:tc>
          <w:tcPr>
            <w:tcW w:w="4820" w:type="dxa"/>
          </w:tcPr>
          <w:p w:rsidR="003A3F98" w:rsidRPr="00200B0D" w:rsidRDefault="003A3F98" w:rsidP="003A3F98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…meine eigenen Kompetenzen reflektieren und realistisch einschätzen.                                          </w:t>
            </w:r>
            <w:r>
              <w:rPr>
                <w:color w:val="FF0000"/>
                <w:sz w:val="20"/>
              </w:rPr>
              <w:t>1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1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0" w:type="dxa"/>
            <w:shd w:val="clear" w:color="auto" w:fill="E5DFEC" w:themeFill="accent4" w:themeFillTint="33"/>
          </w:tcPr>
          <w:p w:rsidR="003A3F98" w:rsidRDefault="003A3F98" w:rsidP="0071759F"/>
        </w:tc>
      </w:tr>
      <w:tr w:rsidR="003A3F98" w:rsidTr="00A575DA">
        <w:tc>
          <w:tcPr>
            <w:tcW w:w="4820" w:type="dxa"/>
          </w:tcPr>
          <w:p w:rsidR="003A3F98" w:rsidRPr="00200B0D" w:rsidRDefault="003A3F98" w:rsidP="00A575DA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…mir in Eigenverantwortung Informationen beschaffen und diese strukturiert dokumentieren.  </w:t>
            </w:r>
            <w:r>
              <w:rPr>
                <w:color w:val="FF0000"/>
                <w:sz w:val="20"/>
              </w:rPr>
              <w:t>2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1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0" w:type="dxa"/>
            <w:shd w:val="clear" w:color="auto" w:fill="E5DFEC" w:themeFill="accent4" w:themeFillTint="33"/>
          </w:tcPr>
          <w:p w:rsidR="003A3F98" w:rsidRDefault="003A3F98" w:rsidP="0071759F"/>
        </w:tc>
      </w:tr>
      <w:tr w:rsidR="003A3F98" w:rsidTr="00A575DA">
        <w:tc>
          <w:tcPr>
            <w:tcW w:w="4820" w:type="dxa"/>
          </w:tcPr>
          <w:p w:rsidR="003A3F98" w:rsidRPr="00200B0D" w:rsidRDefault="003A3F98" w:rsidP="00A575DA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…</w:t>
            </w:r>
            <w:r w:rsidR="00A575DA">
              <w:rPr>
                <w:sz w:val="20"/>
              </w:rPr>
              <w:t>mit gewonnenen Informationen selbstständig Aufgaben und Probleme lösen</w:t>
            </w:r>
            <w:r>
              <w:rPr>
                <w:sz w:val="20"/>
              </w:rPr>
              <w:t xml:space="preserve">.                               </w:t>
            </w:r>
            <w:r>
              <w:rPr>
                <w:color w:val="FF0000"/>
                <w:sz w:val="20"/>
              </w:rPr>
              <w:t>3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1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0" w:type="dxa"/>
            <w:shd w:val="clear" w:color="auto" w:fill="E5DFEC" w:themeFill="accent4" w:themeFillTint="33"/>
          </w:tcPr>
          <w:p w:rsidR="003A3F98" w:rsidRDefault="003A3F98" w:rsidP="0071759F"/>
        </w:tc>
      </w:tr>
      <w:tr w:rsidR="003A3F98" w:rsidTr="00A575DA">
        <w:tc>
          <w:tcPr>
            <w:tcW w:w="4820" w:type="dxa"/>
          </w:tcPr>
          <w:p w:rsidR="003A3F98" w:rsidRPr="00200B0D" w:rsidRDefault="003A3F98" w:rsidP="00A575DA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…</w:t>
            </w:r>
            <w:r w:rsidR="00A575DA">
              <w:rPr>
                <w:sz w:val="20"/>
              </w:rPr>
              <w:t>meine Wissenslücken gezielt schließen – auch durch die Unterstützung meiner Mitschüler/innen</w:t>
            </w:r>
            <w:r>
              <w:rPr>
                <w:sz w:val="20"/>
              </w:rPr>
              <w:t xml:space="preserve">.  </w:t>
            </w:r>
            <w:r>
              <w:rPr>
                <w:color w:val="FF0000"/>
                <w:sz w:val="20"/>
              </w:rPr>
              <w:t>4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1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0" w:type="dxa"/>
            <w:shd w:val="clear" w:color="auto" w:fill="E5DFEC" w:themeFill="accent4" w:themeFillTint="33"/>
          </w:tcPr>
          <w:p w:rsidR="003A3F98" w:rsidRDefault="003A3F98" w:rsidP="0071759F"/>
        </w:tc>
      </w:tr>
      <w:tr w:rsidR="003A3F98" w:rsidTr="00A575DA">
        <w:tc>
          <w:tcPr>
            <w:tcW w:w="4820" w:type="dxa"/>
          </w:tcPr>
          <w:p w:rsidR="003A3F98" w:rsidRPr="00200B0D" w:rsidRDefault="00A575DA" w:rsidP="00A575DA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..meine Mitschüler/innen gezielt in den Kompetenzbereichen fördern, die ich ganz gut beherrsche</w:t>
            </w:r>
            <w:r w:rsidR="003A3F98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="003A3F98">
              <w:rPr>
                <w:sz w:val="20"/>
              </w:rPr>
              <w:t xml:space="preserve">                                                            </w:t>
            </w:r>
            <w:r w:rsidR="003A3F98">
              <w:rPr>
                <w:color w:val="FF0000"/>
                <w:sz w:val="20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1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0" w:type="dxa"/>
            <w:shd w:val="clear" w:color="auto" w:fill="E5DFEC" w:themeFill="accent4" w:themeFillTint="33"/>
          </w:tcPr>
          <w:p w:rsidR="003A3F98" w:rsidRDefault="003A3F98" w:rsidP="0071759F"/>
        </w:tc>
      </w:tr>
      <w:tr w:rsidR="003A3F98" w:rsidTr="00A575DA">
        <w:tc>
          <w:tcPr>
            <w:tcW w:w="4820" w:type="dxa"/>
          </w:tcPr>
          <w:p w:rsidR="003A3F98" w:rsidRDefault="003A3F98" w:rsidP="00A575DA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…</w:t>
            </w:r>
            <w:r w:rsidR="00A575DA">
              <w:rPr>
                <w:sz w:val="20"/>
              </w:rPr>
              <w:t>meinen Mitschüler/innen Lerninhalte erklären</w:t>
            </w:r>
            <w:r>
              <w:rPr>
                <w:sz w:val="20"/>
              </w:rPr>
              <w:t xml:space="preserve">.    </w:t>
            </w:r>
            <w:r>
              <w:rPr>
                <w:color w:val="FF0000"/>
                <w:sz w:val="20"/>
              </w:rPr>
              <w:t>6</w:t>
            </w:r>
          </w:p>
          <w:p w:rsidR="00A575DA" w:rsidRPr="00200B0D" w:rsidRDefault="00A575DA" w:rsidP="00A575DA">
            <w:pPr>
              <w:rPr>
                <w:color w:val="FF0000"/>
                <w:sz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1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0" w:type="dxa"/>
            <w:shd w:val="clear" w:color="auto" w:fill="E5DFEC" w:themeFill="accent4" w:themeFillTint="33"/>
          </w:tcPr>
          <w:p w:rsidR="003A3F98" w:rsidRDefault="003A3F98" w:rsidP="0071759F"/>
        </w:tc>
      </w:tr>
      <w:tr w:rsidR="003A3F98" w:rsidTr="00A575DA">
        <w:tc>
          <w:tcPr>
            <w:tcW w:w="4820" w:type="dxa"/>
          </w:tcPr>
          <w:p w:rsidR="003A3F98" w:rsidRPr="00200B0D" w:rsidRDefault="003A3F98" w:rsidP="00A575DA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…</w:t>
            </w:r>
            <w:r w:rsidR="00A575DA">
              <w:rPr>
                <w:sz w:val="20"/>
              </w:rPr>
              <w:t>den Erklärungen meiner Mitschüler/innen zuhören und diese reflektieren</w:t>
            </w:r>
            <w:r>
              <w:rPr>
                <w:sz w:val="20"/>
              </w:rPr>
              <w:t xml:space="preserve">.                               </w:t>
            </w:r>
            <w:r>
              <w:rPr>
                <w:color w:val="FF0000"/>
                <w:sz w:val="20"/>
              </w:rPr>
              <w:t>7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1" w:type="dxa"/>
            <w:shd w:val="clear" w:color="auto" w:fill="E5DFEC" w:themeFill="accent4" w:themeFillTint="33"/>
          </w:tcPr>
          <w:p w:rsidR="003A3F98" w:rsidRDefault="003A3F98" w:rsidP="0071759F"/>
        </w:tc>
        <w:tc>
          <w:tcPr>
            <w:tcW w:w="850" w:type="dxa"/>
            <w:shd w:val="clear" w:color="auto" w:fill="E5DFEC" w:themeFill="accent4" w:themeFillTint="33"/>
          </w:tcPr>
          <w:p w:rsidR="003A3F98" w:rsidRDefault="003A3F98" w:rsidP="0071759F"/>
        </w:tc>
      </w:tr>
    </w:tbl>
    <w:p w:rsidR="001428D6" w:rsidRDefault="001428D6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sectPr w:rsidR="002C44FE" w:rsidSect="00AD1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ADC" w:rsidRDefault="00181ADC" w:rsidP="003A587E">
      <w:r>
        <w:separator/>
      </w:r>
    </w:p>
  </w:endnote>
  <w:endnote w:type="continuationSeparator" w:id="0">
    <w:p w:rsidR="00181ADC" w:rsidRDefault="00181ADC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5F" w:rsidRDefault="009E2A5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5F" w:rsidRDefault="009E2A5F" w:rsidP="009E2A5F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C877CF" wp14:editId="18A908F5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9E2A5F" w:rsidRPr="00357B92" w:rsidRDefault="009E2A5F" w:rsidP="009E2A5F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181ADC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</w:r>
        <w:bookmarkStart w:id="0" w:name="_GoBack"/>
        <w:bookmarkEnd w:id="0"/>
        <w:r>
          <w:rPr>
            <w:color w:val="A6A6A6" w:themeColor="background1" w:themeShade="A6"/>
            <w:sz w:val="18"/>
          </w:rPr>
          <w:t>Pädagogische Diagnose-Überfachliche Kompetenzen</w:t>
        </w:r>
      </w:sdtContent>
    </w:sdt>
  </w:p>
  <w:p w:rsidR="003A587E" w:rsidRDefault="003A58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5F" w:rsidRDefault="009E2A5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ADC" w:rsidRDefault="00181ADC" w:rsidP="003A587E">
      <w:r>
        <w:separator/>
      </w:r>
    </w:p>
  </w:footnote>
  <w:footnote w:type="continuationSeparator" w:id="0">
    <w:p w:rsidR="00181ADC" w:rsidRDefault="00181ADC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5F" w:rsidRDefault="009E2A5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9E2A5F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E2A5F" w:rsidRDefault="009E2A5F" w:rsidP="00D42122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E2A5F" w:rsidRDefault="009E2A5F" w:rsidP="00D42122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E2A5F" w:rsidRDefault="009E2A5F" w:rsidP="00D42122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E2A5F" w:rsidRDefault="009E2A5F" w:rsidP="00D42122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9E2A5F" w:rsidRDefault="009E2A5F" w:rsidP="00D42122">
          <w:pPr>
            <w:spacing w:before="120" w:line="276" w:lineRule="auto"/>
          </w:pPr>
        </w:p>
      </w:tc>
    </w:tr>
    <w:tr w:rsidR="009E2A5F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E2A5F" w:rsidRDefault="009E2A5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E2A5F" w:rsidRDefault="009E2A5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E2A5F" w:rsidRDefault="009E2A5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E2A5F" w:rsidRDefault="009E2A5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E2A5F" w:rsidRDefault="009E2A5F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9E2A5F" w:rsidRDefault="009E2A5F">
    <w:pPr>
      <w:pStyle w:val="Kopfzeile"/>
    </w:pPr>
  </w:p>
  <w:p w:rsidR="003A587E" w:rsidRDefault="003A587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5F" w:rsidRDefault="009E2A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7E"/>
    <w:rsid w:val="00111319"/>
    <w:rsid w:val="00120331"/>
    <w:rsid w:val="00137128"/>
    <w:rsid w:val="001428D6"/>
    <w:rsid w:val="00181ADC"/>
    <w:rsid w:val="00190B93"/>
    <w:rsid w:val="00192F79"/>
    <w:rsid w:val="001A419F"/>
    <w:rsid w:val="00232CD8"/>
    <w:rsid w:val="002C44FE"/>
    <w:rsid w:val="002D1CD7"/>
    <w:rsid w:val="00386D43"/>
    <w:rsid w:val="003A3F98"/>
    <w:rsid w:val="003A587E"/>
    <w:rsid w:val="004141C2"/>
    <w:rsid w:val="00441B75"/>
    <w:rsid w:val="004C221F"/>
    <w:rsid w:val="004E2114"/>
    <w:rsid w:val="004F02DC"/>
    <w:rsid w:val="00531B1F"/>
    <w:rsid w:val="005D7BD3"/>
    <w:rsid w:val="005F4D4E"/>
    <w:rsid w:val="00650E02"/>
    <w:rsid w:val="00666B57"/>
    <w:rsid w:val="006F5076"/>
    <w:rsid w:val="0075429E"/>
    <w:rsid w:val="007A4B15"/>
    <w:rsid w:val="007B10C0"/>
    <w:rsid w:val="008256D7"/>
    <w:rsid w:val="008F0408"/>
    <w:rsid w:val="0090621C"/>
    <w:rsid w:val="00930607"/>
    <w:rsid w:val="009B01F8"/>
    <w:rsid w:val="009C561A"/>
    <w:rsid w:val="009E2A5F"/>
    <w:rsid w:val="009F356F"/>
    <w:rsid w:val="00A050EC"/>
    <w:rsid w:val="00A15240"/>
    <w:rsid w:val="00A5364E"/>
    <w:rsid w:val="00A575DA"/>
    <w:rsid w:val="00A835B7"/>
    <w:rsid w:val="00AD1985"/>
    <w:rsid w:val="00B17EFA"/>
    <w:rsid w:val="00C13A17"/>
    <w:rsid w:val="00C40C62"/>
    <w:rsid w:val="00C61D08"/>
    <w:rsid w:val="00CA4FAB"/>
    <w:rsid w:val="00D047DB"/>
    <w:rsid w:val="00E1678C"/>
    <w:rsid w:val="00E23AED"/>
    <w:rsid w:val="00E24128"/>
    <w:rsid w:val="00EC0F3C"/>
    <w:rsid w:val="00F661AB"/>
    <w:rsid w:val="00F97464"/>
    <w:rsid w:val="00FF155E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678C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3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678C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3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6</cp:revision>
  <cp:lastPrinted>2013-02-12T13:59:00Z</cp:lastPrinted>
  <dcterms:created xsi:type="dcterms:W3CDTF">2013-02-12T13:17:00Z</dcterms:created>
  <dcterms:modified xsi:type="dcterms:W3CDTF">2014-05-01T14:22:00Z</dcterms:modified>
</cp:coreProperties>
</file>