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4A1" w:rsidRPr="00AD0F50" w:rsidRDefault="002204A1" w:rsidP="002204A1">
      <w:pPr>
        <w:pStyle w:val="Kopfzeile"/>
        <w:tabs>
          <w:tab w:val="left" w:pos="708"/>
        </w:tabs>
        <w:spacing w:line="240" w:lineRule="exact"/>
        <w:jc w:val="both"/>
        <w:rPr>
          <w:rFonts w:ascii="Arial" w:hAnsi="Arial"/>
          <w:color w:val="365F91" w:themeColor="accent1" w:themeShade="BF"/>
          <w:sz w:val="24"/>
        </w:rPr>
      </w:pPr>
      <w:r w:rsidRPr="00AD0F50">
        <w:rPr>
          <w:rFonts w:ascii="Arial" w:hAnsi="Arial"/>
          <w:color w:val="365F91" w:themeColor="accent1" w:themeShade="BF"/>
          <w:sz w:val="24"/>
        </w:rPr>
        <w:t>Aufgaben zur Überprüfung und Konsolidierung</w:t>
      </w:r>
      <w:r w:rsidR="0000525D">
        <w:rPr>
          <w:rFonts w:ascii="Arial" w:hAnsi="Arial"/>
          <w:color w:val="365F91" w:themeColor="accent1" w:themeShade="BF"/>
          <w:sz w:val="24"/>
        </w:rPr>
        <w:t>-2</w:t>
      </w:r>
    </w:p>
    <w:p w:rsidR="002204A1" w:rsidRPr="0000525D" w:rsidRDefault="002204A1" w:rsidP="002204A1">
      <w:pPr>
        <w:pStyle w:val="Kopfzeile"/>
        <w:tabs>
          <w:tab w:val="left" w:pos="708"/>
        </w:tabs>
        <w:spacing w:line="240" w:lineRule="exact"/>
        <w:jc w:val="both"/>
        <w:rPr>
          <w:rFonts w:ascii="Arial" w:hAnsi="Arial"/>
          <w:sz w:val="22"/>
        </w:rPr>
      </w:pPr>
    </w:p>
    <w:p w:rsidR="002204A1" w:rsidRPr="0000525D" w:rsidRDefault="002204A1" w:rsidP="002204A1">
      <w:pPr>
        <w:pStyle w:val="Kopfzeile"/>
        <w:tabs>
          <w:tab w:val="left" w:pos="708"/>
        </w:tabs>
        <w:spacing w:line="240" w:lineRule="exact"/>
        <w:jc w:val="both"/>
        <w:rPr>
          <w:rFonts w:ascii="Arial" w:hAnsi="Arial"/>
          <w:sz w:val="22"/>
        </w:rPr>
      </w:pPr>
    </w:p>
    <w:p w:rsidR="002204A1" w:rsidRPr="0000525D" w:rsidRDefault="002204A1" w:rsidP="002204A1">
      <w:pPr>
        <w:spacing w:line="240" w:lineRule="exact"/>
        <w:jc w:val="both"/>
        <w:rPr>
          <w:rFonts w:ascii="Arial" w:hAnsi="Arial"/>
          <w:b/>
          <w:sz w:val="22"/>
          <w:u w:val="single"/>
        </w:rPr>
      </w:pPr>
      <w:r w:rsidRPr="0000525D">
        <w:rPr>
          <w:rFonts w:ascii="Arial" w:hAnsi="Arial"/>
          <w:b/>
          <w:sz w:val="22"/>
          <w:u w:val="single"/>
        </w:rPr>
        <w:t>Aufgabe</w:t>
      </w:r>
      <w:r w:rsidR="0000525D">
        <w:rPr>
          <w:rFonts w:ascii="Arial" w:hAnsi="Arial"/>
          <w:b/>
          <w:sz w:val="22"/>
          <w:u w:val="single"/>
        </w:rPr>
        <w:t>n</w:t>
      </w:r>
    </w:p>
    <w:p w:rsidR="002204A1" w:rsidRDefault="002204A1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1. Vergleichen Sie die rechtliche Stellung des Anlegers bei einer Direktanlage in Aktien mit einer Anlage in Aktienfonds.</w:t>
      </w: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CF3585" w:rsidP="002204A1">
      <w:pPr>
        <w:spacing w:line="240" w:lineRule="exact"/>
        <w:jc w:val="both"/>
        <w:rPr>
          <w:rFonts w:ascii="Arial" w:hAnsi="Arial"/>
          <w:color w:val="4F6228" w:themeColor="accent3" w:themeShade="80"/>
          <w:sz w:val="22"/>
        </w:rPr>
      </w:pPr>
      <w:r>
        <w:rPr>
          <w:rFonts w:ascii="Arial" w:hAnsi="Arial"/>
          <w:color w:val="4F6228" w:themeColor="accent3" w:themeShade="80"/>
          <w:sz w:val="22"/>
        </w:rPr>
        <w:t xml:space="preserve">Bei der Direktanlage in Aktien ist der Anleger Miteigentümer und Teilhaber an der AG. </w:t>
      </w:r>
    </w:p>
    <w:p w:rsidR="00CF3585" w:rsidRDefault="00CF3585" w:rsidP="002204A1">
      <w:pPr>
        <w:spacing w:line="240" w:lineRule="exact"/>
        <w:jc w:val="both"/>
        <w:rPr>
          <w:rFonts w:ascii="Arial" w:hAnsi="Arial"/>
          <w:color w:val="4F6228" w:themeColor="accent3" w:themeShade="80"/>
          <w:sz w:val="22"/>
        </w:rPr>
      </w:pPr>
    </w:p>
    <w:p w:rsidR="00CF3585" w:rsidRPr="00CF3585" w:rsidRDefault="00CF3585" w:rsidP="002204A1">
      <w:pPr>
        <w:spacing w:line="240" w:lineRule="exact"/>
        <w:jc w:val="both"/>
        <w:rPr>
          <w:rFonts w:ascii="Arial" w:hAnsi="Arial"/>
          <w:color w:val="4F6228" w:themeColor="accent3" w:themeShade="80"/>
          <w:sz w:val="22"/>
        </w:rPr>
      </w:pPr>
      <w:r>
        <w:rPr>
          <w:rFonts w:ascii="Arial" w:hAnsi="Arial"/>
          <w:color w:val="4F6228" w:themeColor="accent3" w:themeShade="80"/>
          <w:sz w:val="22"/>
        </w:rPr>
        <w:t>Bei der Anlage in Aktienfonds ist der Anleger Miteigentümer am Sondervermögen des entsprechenden Fonds.</w:t>
      </w: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2. Zeigen Sie zwei Vorteile und zwei Nachteile auf, die mit einer Direktanlage in Aktien gegenüber einer Anlage in Aktienfonds verbunden sein können.</w:t>
      </w: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CF3585" w:rsidP="002204A1">
      <w:pPr>
        <w:spacing w:line="240" w:lineRule="exact"/>
        <w:jc w:val="both"/>
        <w:rPr>
          <w:rFonts w:ascii="Arial" w:hAnsi="Arial"/>
          <w:color w:val="4F6228" w:themeColor="accent3" w:themeShade="80"/>
          <w:sz w:val="22"/>
        </w:rPr>
      </w:pPr>
      <w:r>
        <w:rPr>
          <w:rFonts w:ascii="Arial" w:hAnsi="Arial"/>
          <w:color w:val="4F6228" w:themeColor="accent3" w:themeShade="80"/>
          <w:sz w:val="22"/>
        </w:rPr>
        <w:t>Vorteile Aktienanlage:</w:t>
      </w:r>
      <w:r>
        <w:rPr>
          <w:rFonts w:ascii="Arial" w:hAnsi="Arial"/>
          <w:color w:val="4F6228" w:themeColor="accent3" w:themeShade="80"/>
          <w:sz w:val="22"/>
        </w:rPr>
        <w:tab/>
      </w:r>
      <w:r>
        <w:rPr>
          <w:rFonts w:ascii="Arial" w:hAnsi="Arial"/>
          <w:color w:val="4F6228" w:themeColor="accent3" w:themeShade="80"/>
          <w:sz w:val="22"/>
        </w:rPr>
        <w:tab/>
      </w:r>
      <w:r>
        <w:rPr>
          <w:rFonts w:ascii="Arial" w:hAnsi="Arial"/>
          <w:color w:val="4F6228" w:themeColor="accent3" w:themeShade="80"/>
          <w:sz w:val="22"/>
        </w:rPr>
        <w:tab/>
      </w:r>
      <w:r>
        <w:rPr>
          <w:rFonts w:ascii="Arial" w:hAnsi="Arial"/>
          <w:color w:val="4F6228" w:themeColor="accent3" w:themeShade="80"/>
          <w:sz w:val="22"/>
        </w:rPr>
        <w:tab/>
        <w:t>Nachteile Aktienanlage:</w:t>
      </w:r>
    </w:p>
    <w:p w:rsidR="00CF3585" w:rsidRDefault="00CF3585" w:rsidP="002204A1">
      <w:pPr>
        <w:spacing w:line="240" w:lineRule="exact"/>
        <w:jc w:val="both"/>
        <w:rPr>
          <w:rFonts w:ascii="Arial" w:hAnsi="Arial"/>
          <w:color w:val="4F6228" w:themeColor="accent3" w:themeShade="80"/>
          <w:sz w:val="22"/>
        </w:rPr>
      </w:pPr>
      <w:r>
        <w:rPr>
          <w:rFonts w:ascii="Arial" w:hAnsi="Arial"/>
          <w:color w:val="4F6228" w:themeColor="accent3" w:themeShade="80"/>
          <w:sz w:val="22"/>
        </w:rPr>
        <w:t>Teilhaberrechte</w:t>
      </w:r>
      <w:r>
        <w:rPr>
          <w:rFonts w:ascii="Arial" w:hAnsi="Arial"/>
          <w:color w:val="4F6228" w:themeColor="accent3" w:themeShade="80"/>
          <w:sz w:val="22"/>
        </w:rPr>
        <w:tab/>
      </w:r>
      <w:r>
        <w:rPr>
          <w:rFonts w:ascii="Arial" w:hAnsi="Arial"/>
          <w:color w:val="4F6228" w:themeColor="accent3" w:themeShade="80"/>
          <w:sz w:val="22"/>
        </w:rPr>
        <w:tab/>
      </w:r>
      <w:r>
        <w:rPr>
          <w:rFonts w:ascii="Arial" w:hAnsi="Arial"/>
          <w:color w:val="4F6228" w:themeColor="accent3" w:themeShade="80"/>
          <w:sz w:val="22"/>
        </w:rPr>
        <w:tab/>
      </w:r>
      <w:r>
        <w:rPr>
          <w:rFonts w:ascii="Arial" w:hAnsi="Arial"/>
          <w:color w:val="4F6228" w:themeColor="accent3" w:themeShade="80"/>
          <w:sz w:val="22"/>
        </w:rPr>
        <w:tab/>
      </w:r>
      <w:r>
        <w:rPr>
          <w:rFonts w:ascii="Arial" w:hAnsi="Arial"/>
          <w:color w:val="4F6228" w:themeColor="accent3" w:themeShade="80"/>
          <w:sz w:val="22"/>
        </w:rPr>
        <w:tab/>
        <w:t>Relativ hohes Risiko</w:t>
      </w:r>
    </w:p>
    <w:p w:rsidR="00CF3585" w:rsidRDefault="00CF3585" w:rsidP="002204A1">
      <w:pPr>
        <w:spacing w:line="240" w:lineRule="exact"/>
        <w:jc w:val="both"/>
        <w:rPr>
          <w:rFonts w:ascii="Arial" w:hAnsi="Arial"/>
          <w:color w:val="4F6228" w:themeColor="accent3" w:themeShade="80"/>
          <w:sz w:val="22"/>
        </w:rPr>
      </w:pPr>
      <w:r>
        <w:rPr>
          <w:rFonts w:ascii="Arial" w:hAnsi="Arial"/>
          <w:color w:val="4F6228" w:themeColor="accent3" w:themeShade="80"/>
          <w:sz w:val="22"/>
        </w:rPr>
        <w:t>Hohe Kursgewinne möglich</w:t>
      </w:r>
      <w:r>
        <w:rPr>
          <w:rFonts w:ascii="Arial" w:hAnsi="Arial"/>
          <w:color w:val="4F6228" w:themeColor="accent3" w:themeShade="80"/>
          <w:sz w:val="22"/>
        </w:rPr>
        <w:tab/>
      </w:r>
      <w:r>
        <w:rPr>
          <w:rFonts w:ascii="Arial" w:hAnsi="Arial"/>
          <w:color w:val="4F6228" w:themeColor="accent3" w:themeShade="80"/>
          <w:sz w:val="22"/>
        </w:rPr>
        <w:tab/>
      </w:r>
      <w:r>
        <w:rPr>
          <w:rFonts w:ascii="Arial" w:hAnsi="Arial"/>
          <w:color w:val="4F6228" w:themeColor="accent3" w:themeShade="80"/>
          <w:sz w:val="22"/>
        </w:rPr>
        <w:tab/>
      </w:r>
      <w:r>
        <w:rPr>
          <w:rFonts w:ascii="Arial" w:hAnsi="Arial"/>
          <w:color w:val="4F6228" w:themeColor="accent3" w:themeShade="80"/>
          <w:sz w:val="22"/>
        </w:rPr>
        <w:tab/>
        <w:t>Muss Depot selbst managen</w:t>
      </w:r>
    </w:p>
    <w:p w:rsidR="00CF3585" w:rsidRDefault="00CF3585" w:rsidP="002204A1">
      <w:pPr>
        <w:spacing w:line="240" w:lineRule="exact"/>
        <w:jc w:val="both"/>
        <w:rPr>
          <w:rFonts w:ascii="Arial" w:hAnsi="Arial"/>
          <w:color w:val="4F6228" w:themeColor="accent3" w:themeShade="80"/>
          <w:sz w:val="22"/>
        </w:rPr>
      </w:pPr>
    </w:p>
    <w:p w:rsidR="00CF3585" w:rsidRDefault="00CF3585" w:rsidP="002204A1">
      <w:pPr>
        <w:spacing w:line="240" w:lineRule="exact"/>
        <w:jc w:val="both"/>
        <w:rPr>
          <w:rFonts w:ascii="Arial" w:hAnsi="Arial"/>
          <w:color w:val="4F6228" w:themeColor="accent3" w:themeShade="80"/>
          <w:sz w:val="22"/>
        </w:rPr>
      </w:pPr>
      <w:r>
        <w:rPr>
          <w:rFonts w:ascii="Arial" w:hAnsi="Arial"/>
          <w:color w:val="4F6228" w:themeColor="accent3" w:themeShade="80"/>
          <w:sz w:val="22"/>
        </w:rPr>
        <w:t>Vorteile Fondsanlage:</w:t>
      </w:r>
      <w:r>
        <w:rPr>
          <w:rFonts w:ascii="Arial" w:hAnsi="Arial"/>
          <w:color w:val="4F6228" w:themeColor="accent3" w:themeShade="80"/>
          <w:sz w:val="22"/>
        </w:rPr>
        <w:tab/>
      </w:r>
      <w:r>
        <w:rPr>
          <w:rFonts w:ascii="Arial" w:hAnsi="Arial"/>
          <w:color w:val="4F6228" w:themeColor="accent3" w:themeShade="80"/>
          <w:sz w:val="22"/>
        </w:rPr>
        <w:tab/>
      </w:r>
      <w:r>
        <w:rPr>
          <w:rFonts w:ascii="Arial" w:hAnsi="Arial"/>
          <w:color w:val="4F6228" w:themeColor="accent3" w:themeShade="80"/>
          <w:sz w:val="22"/>
        </w:rPr>
        <w:tab/>
      </w:r>
      <w:r>
        <w:rPr>
          <w:rFonts w:ascii="Arial" w:hAnsi="Arial"/>
          <w:color w:val="4F6228" w:themeColor="accent3" w:themeShade="80"/>
          <w:sz w:val="22"/>
        </w:rPr>
        <w:tab/>
        <w:t>Nachteile Fondsanlage:</w:t>
      </w:r>
    </w:p>
    <w:p w:rsidR="00CF3585" w:rsidRDefault="00CF3585" w:rsidP="002204A1">
      <w:pPr>
        <w:spacing w:line="240" w:lineRule="exact"/>
        <w:jc w:val="both"/>
        <w:rPr>
          <w:rFonts w:ascii="Arial" w:hAnsi="Arial"/>
          <w:color w:val="4F6228" w:themeColor="accent3" w:themeShade="80"/>
          <w:sz w:val="22"/>
        </w:rPr>
      </w:pPr>
      <w:r>
        <w:rPr>
          <w:rFonts w:ascii="Arial" w:hAnsi="Arial"/>
          <w:color w:val="4F6228" w:themeColor="accent3" w:themeShade="80"/>
          <w:sz w:val="22"/>
        </w:rPr>
        <w:t>Risikostreuung</w:t>
      </w:r>
      <w:r>
        <w:rPr>
          <w:rFonts w:ascii="Arial" w:hAnsi="Arial"/>
          <w:color w:val="4F6228" w:themeColor="accent3" w:themeShade="80"/>
          <w:sz w:val="22"/>
        </w:rPr>
        <w:tab/>
      </w:r>
      <w:r>
        <w:rPr>
          <w:rFonts w:ascii="Arial" w:hAnsi="Arial"/>
          <w:color w:val="4F6228" w:themeColor="accent3" w:themeShade="80"/>
          <w:sz w:val="22"/>
        </w:rPr>
        <w:tab/>
      </w:r>
      <w:r>
        <w:rPr>
          <w:rFonts w:ascii="Arial" w:hAnsi="Arial"/>
          <w:color w:val="4F6228" w:themeColor="accent3" w:themeShade="80"/>
          <w:sz w:val="22"/>
        </w:rPr>
        <w:tab/>
      </w:r>
      <w:r>
        <w:rPr>
          <w:rFonts w:ascii="Arial" w:hAnsi="Arial"/>
          <w:color w:val="4F6228" w:themeColor="accent3" w:themeShade="80"/>
          <w:sz w:val="22"/>
        </w:rPr>
        <w:tab/>
      </w:r>
      <w:r>
        <w:rPr>
          <w:rFonts w:ascii="Arial" w:hAnsi="Arial"/>
          <w:color w:val="4F6228" w:themeColor="accent3" w:themeShade="80"/>
          <w:sz w:val="22"/>
        </w:rPr>
        <w:tab/>
        <w:t>Keine Teilhaberrechte</w:t>
      </w:r>
    </w:p>
    <w:p w:rsidR="00CF3585" w:rsidRPr="00CF3585" w:rsidRDefault="00CF3585" w:rsidP="002204A1">
      <w:pPr>
        <w:spacing w:line="240" w:lineRule="exact"/>
        <w:jc w:val="both"/>
        <w:rPr>
          <w:rFonts w:ascii="Arial" w:hAnsi="Arial"/>
          <w:color w:val="4F6228" w:themeColor="accent3" w:themeShade="80"/>
          <w:sz w:val="22"/>
        </w:rPr>
      </w:pPr>
      <w:r>
        <w:rPr>
          <w:rFonts w:ascii="Arial" w:hAnsi="Arial"/>
          <w:color w:val="4F6228" w:themeColor="accent3" w:themeShade="80"/>
          <w:sz w:val="22"/>
        </w:rPr>
        <w:t>Professionelles Management</w:t>
      </w:r>
      <w:r>
        <w:rPr>
          <w:rFonts w:ascii="Arial" w:hAnsi="Arial"/>
          <w:color w:val="4F6228" w:themeColor="accent3" w:themeShade="80"/>
          <w:sz w:val="22"/>
        </w:rPr>
        <w:tab/>
      </w:r>
      <w:r>
        <w:rPr>
          <w:rFonts w:ascii="Arial" w:hAnsi="Arial"/>
          <w:color w:val="4F6228" w:themeColor="accent3" w:themeShade="80"/>
          <w:sz w:val="22"/>
        </w:rPr>
        <w:tab/>
      </w:r>
      <w:r>
        <w:rPr>
          <w:rFonts w:ascii="Arial" w:hAnsi="Arial"/>
          <w:color w:val="4F6228" w:themeColor="accent3" w:themeShade="80"/>
          <w:sz w:val="22"/>
        </w:rPr>
        <w:tab/>
        <w:t>Kein eigener Aktienhandel möglich</w:t>
      </w: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3. Vor ein paar Jahren hat die Bayer AG auf Vorschlag des Vorstands von Inhaber- auf Namensaktien umgestellt. Erläutern Sie zwei Gründe.</w:t>
      </w: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Pr="00CF3585" w:rsidRDefault="00CF3585" w:rsidP="002204A1">
      <w:pPr>
        <w:spacing w:line="240" w:lineRule="exact"/>
        <w:jc w:val="both"/>
        <w:rPr>
          <w:rFonts w:ascii="Arial" w:hAnsi="Arial"/>
          <w:color w:val="4F6228" w:themeColor="accent3" w:themeShade="80"/>
          <w:sz w:val="22"/>
        </w:rPr>
      </w:pPr>
      <w:r>
        <w:rPr>
          <w:rFonts w:ascii="Arial" w:hAnsi="Arial"/>
          <w:color w:val="4F6228" w:themeColor="accent3" w:themeShade="80"/>
          <w:sz w:val="22"/>
        </w:rPr>
        <w:t>Bei den Namensaktien ist der Anleger der AG namentlich bekannt. Dadurch kann das Unternehmen direkt mit ihm kommunizieren.</w:t>
      </w: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4. Welche Entscheidungshilfen können Aktiencharts bieten.</w:t>
      </w: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Pr="00CF3585" w:rsidRDefault="00CF3585" w:rsidP="002204A1">
      <w:pPr>
        <w:spacing w:line="240" w:lineRule="exact"/>
        <w:jc w:val="both"/>
        <w:rPr>
          <w:rFonts w:ascii="Arial" w:hAnsi="Arial"/>
          <w:color w:val="4F6228" w:themeColor="accent3" w:themeShade="80"/>
          <w:sz w:val="22"/>
        </w:rPr>
      </w:pPr>
      <w:r>
        <w:rPr>
          <w:rFonts w:ascii="Arial" w:hAnsi="Arial"/>
          <w:color w:val="4F6228" w:themeColor="accent3" w:themeShade="80"/>
          <w:sz w:val="22"/>
        </w:rPr>
        <w:t>Aus den Charts können besonders Kauf- und Verkaufssignale abgelesen werden.</w:t>
      </w: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P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sectPr w:rsidR="0000525D" w:rsidRPr="0000525D" w:rsidSect="00AD19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553" w:rsidRDefault="005A3553" w:rsidP="00D81A51">
      <w:r>
        <w:separator/>
      </w:r>
    </w:p>
  </w:endnote>
  <w:endnote w:type="continuationSeparator" w:id="0">
    <w:p w:rsidR="005A3553" w:rsidRDefault="005A3553" w:rsidP="00D81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717" w:rsidRDefault="00F4671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211" w:rsidRPr="00F97D19" w:rsidRDefault="00214211" w:rsidP="00214211">
    <w:pPr>
      <w:pStyle w:val="Fuzeile"/>
      <w:rPr>
        <w:rFonts w:asciiTheme="majorHAnsi" w:hAnsiTheme="majorHAnsi" w:cstheme="majorHAnsi"/>
      </w:rPr>
    </w:pPr>
    <w:r>
      <w:rPr>
        <w:rFonts w:asciiTheme="majorHAnsi" w:hAnsiTheme="majorHAnsi" w:cstheme="majorHAnsi"/>
        <w:noProof/>
      </w:rPr>
      <mc:AlternateContent>
        <mc:Choice Requires="wps">
          <w:drawing>
            <wp:anchor distT="4294967294" distB="4294967294" distL="114300" distR="114300" simplePos="0" relativeHeight="251658240" behindDoc="0" locked="0" layoutInCell="1" allowOverlap="1" wp14:anchorId="3D2DD964" wp14:editId="22F99956">
              <wp:simplePos x="0" y="0"/>
              <wp:positionH relativeFrom="column">
                <wp:posOffset>41910</wp:posOffset>
              </wp:positionH>
              <wp:positionV relativeFrom="paragraph">
                <wp:posOffset>92709</wp:posOffset>
              </wp:positionV>
              <wp:extent cx="6000750" cy="0"/>
              <wp:effectExtent l="0" t="0" r="19050" b="19050"/>
              <wp:wrapNone/>
              <wp:docPr id="4" name="Gerade Verbindung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00750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Gerade Verbindung 4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3.3pt,7.3pt" to="475.8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" strokecolor="#a5a5a5 [2092]">
              <o:lock v:ext="edit" shapetype="f"/>
            </v:line>
          </w:pict>
        </mc:Fallback>
      </mc:AlternateContent>
    </w:r>
  </w:p>
  <w:p w:rsidR="00214211" w:rsidRPr="00F97D19" w:rsidRDefault="00214211" w:rsidP="00214211">
    <w:pPr>
      <w:pStyle w:val="Fuzeile"/>
      <w:rPr>
        <w:rFonts w:asciiTheme="majorHAnsi" w:hAnsiTheme="majorHAnsi" w:cstheme="majorHAnsi"/>
        <w:color w:val="A6A6A6" w:themeColor="background1" w:themeShade="A6"/>
        <w:sz w:val="18"/>
      </w:rPr>
    </w:pPr>
    <w:r w:rsidRPr="00F97D19">
      <w:rPr>
        <w:rFonts w:asciiTheme="majorHAnsi" w:hAnsiTheme="majorHAnsi" w:cstheme="majorHAnsi"/>
        <w:color w:val="A6A6A6" w:themeColor="background1" w:themeShade="A6"/>
        <w:sz w:val="18"/>
      </w:rPr>
      <w:t>Aktien – Dr. Kassner</w:t>
    </w:r>
    <w:r w:rsidRPr="00F97D19">
      <w:rPr>
        <w:rFonts w:asciiTheme="majorHAnsi" w:hAnsiTheme="majorHAnsi" w:cstheme="majorHAnsi"/>
        <w:color w:val="A6A6A6" w:themeColor="background1" w:themeShade="A6"/>
        <w:sz w:val="18"/>
      </w:rPr>
      <w:tab/>
    </w:r>
    <w:sdt>
      <w:sdtPr>
        <w:rPr>
          <w:rFonts w:asciiTheme="majorHAnsi" w:hAnsiTheme="majorHAnsi" w:cstheme="majorHAnsi"/>
          <w:color w:val="A6A6A6" w:themeColor="background1" w:themeShade="A6"/>
          <w:sz w:val="18"/>
        </w:rPr>
        <w:id w:val="1223866148"/>
        <w:docPartObj>
          <w:docPartGallery w:val="Page Numbers (Bottom of Page)"/>
          <w:docPartUnique/>
        </w:docPartObj>
      </w:sdtPr>
      <w:sdtContent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fldChar w:fldCharType="begin"/>
        </w:r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instrText>PAGE   \* MERGEFORMAT</w:instrText>
        </w:r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fldChar w:fldCharType="separate"/>
        </w:r>
        <w:r w:rsidR="005A3553">
          <w:rPr>
            <w:rFonts w:asciiTheme="majorHAnsi" w:hAnsiTheme="majorHAnsi" w:cstheme="majorHAnsi"/>
            <w:noProof/>
            <w:color w:val="A6A6A6" w:themeColor="background1" w:themeShade="A6"/>
            <w:sz w:val="18"/>
          </w:rPr>
          <w:t>1</w:t>
        </w:r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fldChar w:fldCharType="end"/>
        </w:r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tab/>
        </w:r>
        <w:r>
          <w:rPr>
            <w:rFonts w:asciiTheme="majorHAnsi" w:hAnsiTheme="majorHAnsi" w:cstheme="majorHAnsi"/>
            <w:color w:val="A6A6A6" w:themeColor="background1" w:themeShade="A6"/>
            <w:sz w:val="18"/>
          </w:rPr>
          <w:t xml:space="preserve">Überprüfung und Konsolidierung </w:t>
        </w:r>
        <w:r>
          <w:rPr>
            <w:rFonts w:asciiTheme="majorHAnsi" w:hAnsiTheme="majorHAnsi" w:cstheme="majorHAnsi"/>
            <w:color w:val="A6A6A6" w:themeColor="background1" w:themeShade="A6"/>
            <w:sz w:val="18"/>
          </w:rPr>
          <w:t>2</w:t>
        </w:r>
        <w:bookmarkStart w:id="0" w:name="_GoBack"/>
        <w:bookmarkEnd w:id="0"/>
      </w:sdtContent>
    </w:sdt>
  </w:p>
  <w:p w:rsidR="00D81A51" w:rsidRPr="00D81A51" w:rsidRDefault="00D81A51">
    <w:pPr>
      <w:pStyle w:val="Fuzeile"/>
      <w:rPr>
        <w:rFonts w:ascii="Arial" w:hAnsi="Arial" w:cs="Arial"/>
      </w:rPr>
    </w:pPr>
  </w:p>
  <w:p w:rsidR="00D81A51" w:rsidRPr="00D81A51" w:rsidRDefault="00D81A51">
    <w:pPr>
      <w:pStyle w:val="Fuzeile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717" w:rsidRDefault="00F4671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553" w:rsidRDefault="005A3553" w:rsidP="00D81A51">
      <w:r>
        <w:separator/>
      </w:r>
    </w:p>
  </w:footnote>
  <w:footnote w:type="continuationSeparator" w:id="0">
    <w:p w:rsidR="005A3553" w:rsidRDefault="005A3553" w:rsidP="00D81A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717" w:rsidRDefault="00F4671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0" w:type="dxa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827"/>
      <w:gridCol w:w="992"/>
      <w:gridCol w:w="2693"/>
      <w:gridCol w:w="1559"/>
      <w:gridCol w:w="709"/>
    </w:tblGrid>
    <w:tr w:rsidR="00F46717" w:rsidRPr="00EA692F" w:rsidTr="00D42122">
      <w:trPr>
        <w:trHeight w:val="397"/>
      </w:trPr>
      <w:tc>
        <w:tcPr>
          <w:tcW w:w="3828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F46717" w:rsidRPr="00EA692F" w:rsidRDefault="00F46717" w:rsidP="00D42122">
          <w:pPr>
            <w:spacing w:before="120" w:line="276" w:lineRule="auto"/>
            <w:rPr>
              <w:rFonts w:asciiTheme="majorHAnsi" w:hAnsiTheme="majorHAnsi" w:cstheme="majorHAnsi"/>
            </w:rPr>
          </w:pPr>
          <w:r w:rsidRPr="00EA692F">
            <w:rPr>
              <w:rFonts w:asciiTheme="majorHAnsi" w:hAnsiTheme="majorHAnsi" w:cstheme="majorHAnsi"/>
              <w:sz w:val="22"/>
            </w:rPr>
            <w:t>Aktien - Stationenlernen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F46717" w:rsidRPr="00EA692F" w:rsidRDefault="00F46717" w:rsidP="00D42122">
          <w:pPr>
            <w:spacing w:before="120" w:line="276" w:lineRule="auto"/>
            <w:rPr>
              <w:rFonts w:asciiTheme="majorHAnsi" w:hAnsiTheme="majorHAnsi" w:cstheme="majorHAnsi"/>
            </w:rPr>
          </w:pPr>
          <w:r w:rsidRPr="00EA692F">
            <w:rPr>
              <w:rFonts w:asciiTheme="majorHAnsi" w:hAnsiTheme="majorHAnsi" w:cstheme="majorHAnsi"/>
              <w:sz w:val="22"/>
            </w:rPr>
            <w:t>SWL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F46717" w:rsidRPr="00EA692F" w:rsidRDefault="00F46717" w:rsidP="00D42122">
          <w:pPr>
            <w:spacing w:before="120" w:line="276" w:lineRule="auto"/>
            <w:rPr>
              <w:rFonts w:asciiTheme="majorHAnsi" w:hAnsiTheme="majorHAnsi" w:cstheme="majorHAnsi"/>
            </w:rPr>
          </w:pPr>
          <w:r w:rsidRPr="00EA692F">
            <w:rPr>
              <w:rFonts w:asciiTheme="majorHAnsi" w:hAnsiTheme="majorHAnsi" w:cstheme="majorHAnsi"/>
              <w:sz w:val="22"/>
            </w:rPr>
            <w:t>Dr. Dieter Kassner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F46717" w:rsidRPr="00EA692F" w:rsidRDefault="00F46717" w:rsidP="00D42122">
          <w:pPr>
            <w:spacing w:before="120" w:line="276" w:lineRule="auto"/>
            <w:rPr>
              <w:rFonts w:asciiTheme="majorHAnsi" w:hAnsiTheme="majorHAnsi" w:cstheme="majorHAnsi"/>
            </w:rPr>
          </w:pPr>
          <w:r w:rsidRPr="00EA692F">
            <w:rPr>
              <w:rFonts w:asciiTheme="majorHAnsi" w:hAnsiTheme="majorHAnsi" w:cstheme="majorHAnsi"/>
              <w:sz w:val="22"/>
            </w:rPr>
            <w:t>……..…2014</w:t>
          </w:r>
        </w:p>
      </w:tc>
      <w:tc>
        <w:tcPr>
          <w:tcW w:w="70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F46717" w:rsidRPr="00EA692F" w:rsidRDefault="00F46717" w:rsidP="00D42122">
          <w:pPr>
            <w:spacing w:before="120" w:line="276" w:lineRule="auto"/>
            <w:rPr>
              <w:rFonts w:asciiTheme="majorHAnsi" w:hAnsiTheme="majorHAnsi" w:cstheme="majorHAnsi"/>
            </w:rPr>
          </w:pPr>
          <w:r>
            <w:rPr>
              <w:rFonts w:asciiTheme="majorHAnsi" w:hAnsiTheme="majorHAnsi" w:cstheme="majorHAnsi"/>
            </w:rPr>
            <w:t>Ü+K 2</w:t>
          </w:r>
        </w:p>
      </w:tc>
    </w:tr>
    <w:tr w:rsidR="00F46717" w:rsidRPr="00EA692F" w:rsidTr="00D42122">
      <w:tc>
        <w:tcPr>
          <w:tcW w:w="382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F46717" w:rsidRPr="00EA692F" w:rsidRDefault="00F46717" w:rsidP="00D42122">
          <w:pPr>
            <w:spacing w:line="276" w:lineRule="auto"/>
            <w:rPr>
              <w:rFonts w:asciiTheme="majorHAnsi" w:hAnsiTheme="majorHAnsi" w:cstheme="majorHAnsi"/>
              <w:sz w:val="14"/>
            </w:rPr>
          </w:pPr>
          <w:r w:rsidRPr="00EA692F">
            <w:rPr>
              <w:rFonts w:asciiTheme="majorHAnsi" w:hAnsiTheme="majorHAnsi" w:cstheme="majorHAnsi"/>
              <w:sz w:val="14"/>
            </w:rPr>
            <w:t>Thema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F46717" w:rsidRPr="00EA692F" w:rsidRDefault="00F46717" w:rsidP="00D42122">
          <w:pPr>
            <w:spacing w:line="276" w:lineRule="auto"/>
            <w:rPr>
              <w:rFonts w:asciiTheme="majorHAnsi" w:hAnsiTheme="majorHAnsi" w:cstheme="majorHAnsi"/>
              <w:sz w:val="14"/>
            </w:rPr>
          </w:pPr>
          <w:r w:rsidRPr="00EA692F">
            <w:rPr>
              <w:rFonts w:asciiTheme="majorHAnsi" w:hAnsiTheme="majorHAnsi" w:cstheme="majorHAnsi"/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F46717" w:rsidRPr="00EA692F" w:rsidRDefault="00F46717" w:rsidP="00D42122">
          <w:pPr>
            <w:spacing w:line="276" w:lineRule="auto"/>
            <w:rPr>
              <w:rFonts w:asciiTheme="majorHAnsi" w:hAnsiTheme="majorHAnsi" w:cstheme="majorHAnsi"/>
              <w:sz w:val="14"/>
            </w:rPr>
          </w:pPr>
          <w:r w:rsidRPr="00EA692F">
            <w:rPr>
              <w:rFonts w:asciiTheme="majorHAnsi" w:hAnsiTheme="majorHAnsi" w:cstheme="majorHAnsi"/>
              <w:sz w:val="14"/>
            </w:rPr>
            <w:t>Name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F46717" w:rsidRPr="00EA692F" w:rsidRDefault="00F46717" w:rsidP="00D42122">
          <w:pPr>
            <w:spacing w:line="276" w:lineRule="auto"/>
            <w:rPr>
              <w:rFonts w:asciiTheme="majorHAnsi" w:hAnsiTheme="majorHAnsi" w:cstheme="majorHAnsi"/>
              <w:sz w:val="14"/>
            </w:rPr>
          </w:pPr>
          <w:r w:rsidRPr="00EA692F">
            <w:rPr>
              <w:rFonts w:asciiTheme="majorHAnsi" w:hAnsiTheme="majorHAnsi" w:cstheme="majorHAnsi"/>
              <w:sz w:val="14"/>
            </w:rPr>
            <w:t>Datum</w:t>
          </w:r>
        </w:p>
      </w:tc>
      <w:tc>
        <w:tcPr>
          <w:tcW w:w="70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F46717" w:rsidRPr="00EA692F" w:rsidRDefault="00F46717" w:rsidP="00D42122">
          <w:pPr>
            <w:spacing w:line="276" w:lineRule="auto"/>
            <w:rPr>
              <w:rFonts w:asciiTheme="majorHAnsi" w:hAnsiTheme="majorHAnsi" w:cstheme="majorHAnsi"/>
              <w:sz w:val="14"/>
            </w:rPr>
          </w:pPr>
          <w:r w:rsidRPr="00EA692F">
            <w:rPr>
              <w:rFonts w:asciiTheme="majorHAnsi" w:hAnsiTheme="majorHAnsi" w:cstheme="majorHAnsi"/>
              <w:sz w:val="14"/>
            </w:rPr>
            <w:t>Nr.</w:t>
          </w:r>
        </w:p>
      </w:tc>
    </w:tr>
  </w:tbl>
  <w:p w:rsidR="00F46717" w:rsidRDefault="00F46717">
    <w:pPr>
      <w:pStyle w:val="Kopfzeile"/>
    </w:pPr>
  </w:p>
  <w:p w:rsidR="00F46717" w:rsidRDefault="00F4671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717" w:rsidRDefault="00F4671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4A1"/>
    <w:rsid w:val="0000525D"/>
    <w:rsid w:val="000D0C4F"/>
    <w:rsid w:val="00120331"/>
    <w:rsid w:val="001F58E8"/>
    <w:rsid w:val="0021290C"/>
    <w:rsid w:val="00214211"/>
    <w:rsid w:val="002204A1"/>
    <w:rsid w:val="002D1CD7"/>
    <w:rsid w:val="00386D43"/>
    <w:rsid w:val="003E4643"/>
    <w:rsid w:val="004F1C66"/>
    <w:rsid w:val="005A3553"/>
    <w:rsid w:val="00622B24"/>
    <w:rsid w:val="006E614D"/>
    <w:rsid w:val="00772E23"/>
    <w:rsid w:val="00AD0F50"/>
    <w:rsid w:val="00AD1985"/>
    <w:rsid w:val="00B77265"/>
    <w:rsid w:val="00C40C62"/>
    <w:rsid w:val="00CB013E"/>
    <w:rsid w:val="00CB6EBC"/>
    <w:rsid w:val="00CF3585"/>
    <w:rsid w:val="00D055FB"/>
    <w:rsid w:val="00D51284"/>
    <w:rsid w:val="00D81A51"/>
    <w:rsid w:val="00E53249"/>
    <w:rsid w:val="00EE4112"/>
    <w:rsid w:val="00F46717"/>
    <w:rsid w:val="00F661AB"/>
    <w:rsid w:val="00FB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204A1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2204A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2204A1"/>
    <w:rPr>
      <w:rFonts w:ascii="Tms Rmn" w:eastAsia="Times New Roman" w:hAnsi="Tms Rm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204A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204A1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00525D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D81A5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81A51"/>
    <w:rPr>
      <w:rFonts w:ascii="Tms Rmn" w:eastAsia="Times New Roman" w:hAnsi="Tms Rmn" w:cs="Times New Roman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204A1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2204A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2204A1"/>
    <w:rPr>
      <w:rFonts w:ascii="Tms Rmn" w:eastAsia="Times New Roman" w:hAnsi="Tms Rm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204A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204A1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00525D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D81A5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81A51"/>
    <w:rPr>
      <w:rFonts w:ascii="Tms Rmn" w:eastAsia="Times New Roman" w:hAnsi="Tms Rm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7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Dieter Kassner</dc:creator>
  <cp:lastModifiedBy>Dr. Dieter Kassner</cp:lastModifiedBy>
  <cp:revision>5</cp:revision>
  <dcterms:created xsi:type="dcterms:W3CDTF">2011-12-12T13:33:00Z</dcterms:created>
  <dcterms:modified xsi:type="dcterms:W3CDTF">2014-05-01T14:34:00Z</dcterms:modified>
</cp:coreProperties>
</file>