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92C" w:rsidRPr="006B492C" w:rsidRDefault="006B492C" w:rsidP="006B492C">
      <w:pPr>
        <w:pBdr>
          <w:bottom w:val="single" w:sz="4" w:space="1" w:color="auto"/>
        </w:pBdr>
        <w:overflowPunct/>
        <w:autoSpaceDE/>
        <w:autoSpaceDN/>
        <w:adjustRightInd/>
        <w:jc w:val="both"/>
        <w:textAlignment w:val="auto"/>
        <w:rPr>
          <w:rFonts w:asciiTheme="minorHAnsi" w:eastAsiaTheme="minorHAnsi" w:hAnsiTheme="minorHAnsi" w:cstheme="minorBidi"/>
          <w:b/>
          <w:sz w:val="24"/>
          <w:szCs w:val="22"/>
          <w:lang w:eastAsia="en-US"/>
        </w:rPr>
      </w:pPr>
      <w:bookmarkStart w:id="0" w:name="Päd_Diagnose"/>
      <w:bookmarkStart w:id="1" w:name="Reflexionsbogen"/>
      <w:r w:rsidRPr="006B492C">
        <w:rPr>
          <w:rFonts w:asciiTheme="minorHAnsi" w:eastAsiaTheme="minorHAnsi" w:hAnsiTheme="minorHAnsi" w:cstheme="minorBidi"/>
          <w:b/>
          <w:sz w:val="24"/>
          <w:szCs w:val="22"/>
          <w:lang w:eastAsia="en-US"/>
        </w:rPr>
        <w:t xml:space="preserve">Pädagogische Diagnose </w:t>
      </w:r>
      <w:r>
        <w:rPr>
          <w:rFonts w:asciiTheme="minorHAnsi" w:eastAsiaTheme="minorHAnsi" w:hAnsiTheme="minorHAnsi" w:cstheme="minorBidi"/>
          <w:b/>
          <w:sz w:val="24"/>
          <w:szCs w:val="22"/>
          <w:lang w:eastAsia="en-US"/>
        </w:rPr>
        <w:t>–</w:t>
      </w:r>
      <w:r w:rsidRPr="006B492C">
        <w:rPr>
          <w:rFonts w:asciiTheme="minorHAnsi" w:eastAsiaTheme="minorHAnsi" w:hAnsiTheme="minorHAnsi" w:cstheme="minorBidi"/>
          <w:b/>
          <w:sz w:val="24"/>
          <w:szCs w:val="22"/>
          <w:lang w:eastAsia="en-US"/>
        </w:rPr>
        <w:t xml:space="preserve"> </w:t>
      </w:r>
      <w:r>
        <w:rPr>
          <w:rFonts w:asciiTheme="minorHAnsi" w:eastAsiaTheme="minorHAnsi" w:hAnsiTheme="minorHAnsi" w:cstheme="minorBidi"/>
          <w:b/>
          <w:sz w:val="24"/>
          <w:szCs w:val="22"/>
          <w:lang w:eastAsia="en-US"/>
        </w:rPr>
        <w:t xml:space="preserve">Ich-kann-Liste zur </w:t>
      </w:r>
      <w:bookmarkStart w:id="2" w:name="_GoBack"/>
      <w:bookmarkEnd w:id="2"/>
      <w:r w:rsidRPr="006B492C">
        <w:rPr>
          <w:rFonts w:asciiTheme="minorHAnsi" w:eastAsiaTheme="minorHAnsi" w:hAnsiTheme="minorHAnsi" w:cstheme="minorBidi"/>
          <w:b/>
          <w:sz w:val="24"/>
          <w:szCs w:val="22"/>
          <w:lang w:eastAsia="en-US"/>
        </w:rPr>
        <w:t>Selbsteinschätzung</w:t>
      </w:r>
    </w:p>
    <w:bookmarkEnd w:id="0"/>
    <w:bookmarkEnd w:id="1"/>
    <w:p w:rsidR="006B492C" w:rsidRPr="006B492C" w:rsidRDefault="006B492C" w:rsidP="006B492C">
      <w:pPr>
        <w:overflowPunct/>
        <w:autoSpaceDE/>
        <w:autoSpaceDN/>
        <w:adjustRightInd/>
        <w:jc w:val="both"/>
        <w:textAlignment w:val="auto"/>
        <w:rPr>
          <w:rFonts w:asciiTheme="minorHAnsi" w:eastAsiaTheme="minorHAnsi" w:hAnsiTheme="minorHAnsi" w:cstheme="minorHAnsi"/>
          <w:sz w:val="12"/>
          <w:szCs w:val="22"/>
          <w:lang w:eastAsia="en-US"/>
        </w:rPr>
      </w:pPr>
    </w:p>
    <w:p w:rsidR="006B492C" w:rsidRPr="006B492C" w:rsidRDefault="006B492C" w:rsidP="006B492C">
      <w:pPr>
        <w:numPr>
          <w:ilvl w:val="0"/>
          <w:numId w:val="3"/>
        </w:numPr>
        <w:overflowPunct/>
        <w:autoSpaceDE/>
        <w:autoSpaceDN/>
        <w:adjustRightInd/>
        <w:textAlignment w:val="auto"/>
        <w:rPr>
          <w:rFonts w:asciiTheme="minorHAnsi" w:eastAsiaTheme="minorHAnsi" w:hAnsiTheme="minorHAnsi" w:cstheme="minorHAnsi"/>
          <w:sz w:val="24"/>
          <w:szCs w:val="22"/>
          <w:lang w:eastAsia="en-US"/>
        </w:rPr>
      </w:pPr>
      <w:r w:rsidRPr="006B492C">
        <w:rPr>
          <w:rFonts w:asciiTheme="minorHAnsi" w:eastAsiaTheme="minorHAnsi" w:hAnsiTheme="minorHAnsi" w:cstheme="minorHAnsi"/>
          <w:sz w:val="24"/>
          <w:szCs w:val="22"/>
          <w:lang w:eastAsia="en-US"/>
        </w:rPr>
        <w:t>Stellen Sie Ihren Wissensstand vor der Bearbeitung der Lernsituation anhand der unten stehenden Tabelle fest.</w:t>
      </w:r>
    </w:p>
    <w:p w:rsidR="006B492C" w:rsidRPr="006B492C" w:rsidRDefault="006B492C" w:rsidP="006B492C">
      <w:pPr>
        <w:numPr>
          <w:ilvl w:val="0"/>
          <w:numId w:val="3"/>
        </w:numPr>
        <w:overflowPunct/>
        <w:autoSpaceDE/>
        <w:autoSpaceDN/>
        <w:adjustRightInd/>
        <w:textAlignment w:val="auto"/>
        <w:rPr>
          <w:rFonts w:asciiTheme="minorHAnsi" w:eastAsiaTheme="minorHAnsi" w:hAnsiTheme="minorHAnsi" w:cstheme="minorHAnsi"/>
          <w:sz w:val="24"/>
          <w:szCs w:val="22"/>
          <w:lang w:eastAsia="en-US"/>
        </w:rPr>
      </w:pPr>
      <w:r w:rsidRPr="006B492C">
        <w:rPr>
          <w:rFonts w:asciiTheme="minorHAnsi" w:eastAsiaTheme="minorHAnsi" w:hAnsiTheme="minorHAnsi" w:cstheme="minorHAnsi"/>
          <w:sz w:val="24"/>
          <w:szCs w:val="22"/>
          <w:lang w:eastAsia="en-US"/>
        </w:rPr>
        <w:t xml:space="preserve">Nachdem Sie die Lernsituation bearbeiten haben, kreuzen Sie an, wie sicher Sie die einzelnen Komponenten beherrschen. Wenn Sie feststellen, dass Sie die Komponenten noch nicht sicher beherrschen, suchen Sie sich einen Experten in der Klasse, der Sie bei der Bearbeitung der anschließenden Aufgaben unterstützt. </w:t>
      </w:r>
    </w:p>
    <w:p w:rsidR="006B492C" w:rsidRPr="006B492C" w:rsidRDefault="006B492C" w:rsidP="006B492C">
      <w:pPr>
        <w:numPr>
          <w:ilvl w:val="0"/>
          <w:numId w:val="3"/>
        </w:numPr>
        <w:overflowPunct/>
        <w:autoSpaceDE/>
        <w:autoSpaceDN/>
        <w:adjustRightInd/>
        <w:textAlignment w:val="auto"/>
        <w:rPr>
          <w:rFonts w:asciiTheme="minorHAnsi" w:eastAsiaTheme="minorHAnsi" w:hAnsiTheme="minorHAnsi" w:cstheme="minorHAnsi"/>
          <w:sz w:val="24"/>
          <w:szCs w:val="22"/>
          <w:lang w:eastAsia="en-US"/>
        </w:rPr>
      </w:pPr>
      <w:r w:rsidRPr="006B492C">
        <w:rPr>
          <w:rFonts w:asciiTheme="minorHAnsi" w:eastAsiaTheme="minorHAnsi" w:hAnsiTheme="minorHAnsi" w:cstheme="minorHAnsi"/>
          <w:sz w:val="24"/>
          <w:szCs w:val="22"/>
          <w:lang w:eastAsia="en-US"/>
        </w:rPr>
        <w:t xml:space="preserve">Wiederholen Sie Ihre Einschätzung nach der Bearbeitung der Aufgaben. </w:t>
      </w:r>
    </w:p>
    <w:p w:rsidR="006B492C" w:rsidRPr="006B492C" w:rsidRDefault="006B492C" w:rsidP="006B492C">
      <w:pPr>
        <w:overflowPunct/>
        <w:autoSpaceDE/>
        <w:autoSpaceDN/>
        <w:adjustRightInd/>
        <w:textAlignment w:val="auto"/>
        <w:rPr>
          <w:rFonts w:asciiTheme="minorHAnsi" w:eastAsiaTheme="minorHAnsi" w:hAnsiTheme="minorHAnsi" w:cstheme="minorBidi"/>
          <w:sz w:val="22"/>
          <w:szCs w:val="22"/>
          <w:lang w:eastAsia="en-US"/>
        </w:rPr>
      </w:pPr>
    </w:p>
    <w:tbl>
      <w:tblPr>
        <w:tblStyle w:val="Tabellenraster2"/>
        <w:tblW w:w="10598" w:type="dxa"/>
        <w:tblLayout w:type="fixed"/>
        <w:tblLook w:val="04A0" w:firstRow="1" w:lastRow="0" w:firstColumn="1" w:lastColumn="0" w:noHBand="0" w:noVBand="1"/>
      </w:tblPr>
      <w:tblGrid>
        <w:gridCol w:w="2093"/>
        <w:gridCol w:w="2997"/>
        <w:gridCol w:w="1397"/>
        <w:gridCol w:w="992"/>
        <w:gridCol w:w="1134"/>
        <w:gridCol w:w="851"/>
        <w:gridCol w:w="1134"/>
      </w:tblGrid>
      <w:tr w:rsidR="006B492C" w:rsidRPr="006B492C" w:rsidTr="00185A98">
        <w:trPr>
          <w:trHeight w:val="420"/>
        </w:trPr>
        <w:tc>
          <w:tcPr>
            <w:tcW w:w="5090" w:type="dxa"/>
            <w:gridSpan w:val="2"/>
            <w:vMerge w:val="restart"/>
          </w:tcPr>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Fachkompetenz:</w:t>
            </w: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Ich kann die optimale Bestellmenge durch eine Minimierung der Summe der Bestell- und Lagerkosten ermitteln.</w:t>
            </w:r>
          </w:p>
          <w:p w:rsidR="006B492C" w:rsidRPr="006B492C" w:rsidRDefault="006B492C" w:rsidP="006B492C">
            <w:pPr>
              <w:overflowPunct/>
              <w:autoSpaceDE/>
              <w:autoSpaceDN/>
              <w:adjustRightInd/>
              <w:textAlignment w:val="auto"/>
              <w:rPr>
                <w:rFonts w:asciiTheme="minorHAnsi" w:hAnsiTheme="minorHAnsi"/>
                <w:b/>
              </w:rPr>
            </w:pP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 xml:space="preserve">Einzelkomponenten </w:t>
            </w:r>
          </w:p>
          <w:p w:rsidR="006B492C" w:rsidRPr="006B492C" w:rsidRDefault="006B492C" w:rsidP="006B492C">
            <w:pPr>
              <w:overflowPunct/>
              <w:autoSpaceDE/>
              <w:autoSpaceDN/>
              <w:adjustRightInd/>
              <w:textAlignment w:val="auto"/>
              <w:rPr>
                <w:rFonts w:asciiTheme="minorHAnsi" w:hAnsiTheme="minorHAnsi"/>
                <w:b/>
              </w:rPr>
            </w:pP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Ich kann…</w:t>
            </w:r>
          </w:p>
        </w:tc>
        <w:tc>
          <w:tcPr>
            <w:tcW w:w="1397" w:type="dxa"/>
          </w:tcPr>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 xml:space="preserve">Vor Bearbeitung der </w:t>
            </w: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Lernsituation</w:t>
            </w:r>
          </w:p>
        </w:tc>
        <w:tc>
          <w:tcPr>
            <w:tcW w:w="2126" w:type="dxa"/>
            <w:gridSpan w:val="2"/>
          </w:tcPr>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 xml:space="preserve">Nach Bearbeitung der </w:t>
            </w: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Lernsituation</w:t>
            </w:r>
          </w:p>
        </w:tc>
        <w:tc>
          <w:tcPr>
            <w:tcW w:w="1985" w:type="dxa"/>
            <w:gridSpan w:val="2"/>
          </w:tcPr>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 xml:space="preserve">Nach Bearbeitung der </w:t>
            </w:r>
          </w:p>
          <w:p w:rsidR="006B492C" w:rsidRPr="006B492C" w:rsidRDefault="006B492C" w:rsidP="006B492C">
            <w:pPr>
              <w:overflowPunct/>
              <w:autoSpaceDE/>
              <w:autoSpaceDN/>
              <w:adjustRightInd/>
              <w:textAlignment w:val="auto"/>
              <w:rPr>
                <w:rFonts w:asciiTheme="minorHAnsi" w:hAnsiTheme="minorHAnsi"/>
                <w:b/>
              </w:rPr>
            </w:pPr>
            <w:r w:rsidRPr="006B492C">
              <w:rPr>
                <w:rFonts w:asciiTheme="minorHAnsi" w:hAnsiTheme="minorHAnsi"/>
                <w:b/>
              </w:rPr>
              <w:t>Aufgaben</w:t>
            </w:r>
          </w:p>
        </w:tc>
      </w:tr>
      <w:tr w:rsidR="006B492C" w:rsidRPr="006B492C" w:rsidTr="00185A98">
        <w:trPr>
          <w:trHeight w:val="892"/>
        </w:trPr>
        <w:tc>
          <w:tcPr>
            <w:tcW w:w="5090" w:type="dxa"/>
            <w:gridSpan w:val="2"/>
            <w:vMerge/>
          </w:tcPr>
          <w:p w:rsidR="006B492C" w:rsidRPr="006B492C" w:rsidRDefault="006B492C" w:rsidP="006B492C">
            <w:pPr>
              <w:overflowPunct/>
              <w:autoSpaceDE/>
              <w:autoSpaceDN/>
              <w:adjustRightInd/>
              <w:textAlignment w:val="auto"/>
              <w:rPr>
                <w:rFonts w:asciiTheme="minorHAnsi" w:hAnsiTheme="minorHAnsi"/>
                <w:b/>
              </w:rPr>
            </w:pPr>
          </w:p>
        </w:tc>
        <w:tc>
          <w:tcPr>
            <w:tcW w:w="1397" w:type="dxa"/>
          </w:tcPr>
          <w:p w:rsidR="006B492C" w:rsidRPr="006B492C" w:rsidRDefault="006B492C" w:rsidP="006B492C">
            <w:pPr>
              <w:overflowPunct/>
              <w:autoSpaceDE/>
              <w:autoSpaceDN/>
              <w:adjustRightInd/>
              <w:textAlignment w:val="auto"/>
              <w:rPr>
                <w:rFonts w:asciiTheme="minorHAnsi" w:hAnsiTheme="minorHAnsi"/>
                <w:b/>
              </w:rPr>
            </w:pPr>
            <w:r w:rsidRPr="006B492C">
              <w:rPr>
                <w:rFonts w:ascii="Calibri" w:hAnsi="Calibri" w:cs="Calibri"/>
                <w:b/>
                <w:color w:val="000000"/>
              </w:rPr>
              <w:t>Einschätzung</w:t>
            </w:r>
          </w:p>
        </w:tc>
        <w:tc>
          <w:tcPr>
            <w:tcW w:w="992" w:type="dxa"/>
            <w:vMerge w:val="restart"/>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r w:rsidRPr="006B492C">
              <w:rPr>
                <w:rFonts w:ascii="Calibri" w:hAnsi="Calibri" w:cs="Calibri"/>
                <w:b/>
                <w:color w:val="000000"/>
              </w:rPr>
              <w:t>Auf-träge</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r w:rsidRPr="006B492C">
              <w:rPr>
                <w:rFonts w:ascii="Calibri" w:hAnsi="Calibri" w:cs="Calibri"/>
                <w:b/>
                <w:color w:val="000000"/>
              </w:rPr>
              <w:t>Ein-schätzung</w:t>
            </w:r>
          </w:p>
        </w:tc>
        <w:tc>
          <w:tcPr>
            <w:tcW w:w="851" w:type="dxa"/>
            <w:vMerge w:val="restart"/>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r w:rsidRPr="006B492C">
              <w:rPr>
                <w:rFonts w:ascii="Calibri" w:hAnsi="Calibri" w:cs="Calibri"/>
                <w:b/>
                <w:color w:val="000000"/>
              </w:rPr>
              <w:t>Auf-gaben</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r w:rsidRPr="006B492C">
              <w:rPr>
                <w:rFonts w:ascii="Calibri" w:hAnsi="Calibri" w:cs="Calibri"/>
                <w:b/>
                <w:color w:val="000000"/>
              </w:rPr>
              <w:t>Ein-schätzung</w:t>
            </w:r>
          </w:p>
        </w:tc>
      </w:tr>
      <w:tr w:rsidR="006B492C" w:rsidRPr="006B492C" w:rsidTr="00185A98">
        <w:trPr>
          <w:trHeight w:val="280"/>
        </w:trPr>
        <w:tc>
          <w:tcPr>
            <w:tcW w:w="5090" w:type="dxa"/>
            <w:gridSpan w:val="2"/>
            <w:vMerge/>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1397" w:type="dxa"/>
            <w:vAlign w:val="center"/>
          </w:tcPr>
          <w:p w:rsidR="006B492C" w:rsidRPr="006B492C" w:rsidRDefault="006B492C" w:rsidP="006B492C">
            <w:pPr>
              <w:overflowPunct/>
              <w:autoSpaceDE/>
              <w:autoSpaceDN/>
              <w:adjustRightInd/>
              <w:jc w:val="center"/>
              <w:textAlignment w:val="auto"/>
              <w:rPr>
                <w:rFonts w:asciiTheme="minorHAnsi" w:hAnsiTheme="minorHAnsi"/>
                <w:b/>
                <w:sz w:val="24"/>
              </w:rPr>
            </w:pPr>
            <w:r w:rsidRPr="006B492C">
              <w:rPr>
                <w:rFonts w:asciiTheme="minorHAnsi" w:hAnsiTheme="minorHAnsi"/>
                <w:b/>
                <w:sz w:val="24"/>
              </w:rPr>
              <w:t>+   0   -</w:t>
            </w:r>
          </w:p>
        </w:tc>
        <w:tc>
          <w:tcPr>
            <w:tcW w:w="992" w:type="dxa"/>
            <w:vMerge/>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1134" w:type="dxa"/>
            <w:vAlign w:val="center"/>
          </w:tcPr>
          <w:p w:rsidR="006B492C" w:rsidRPr="006B492C" w:rsidRDefault="006B492C" w:rsidP="006B492C">
            <w:pPr>
              <w:overflowPunct/>
              <w:autoSpaceDE/>
              <w:autoSpaceDN/>
              <w:adjustRightInd/>
              <w:jc w:val="center"/>
              <w:textAlignment w:val="auto"/>
              <w:rPr>
                <w:rFonts w:asciiTheme="minorHAnsi" w:hAnsiTheme="minorHAnsi"/>
                <w:b/>
                <w:sz w:val="24"/>
              </w:rPr>
            </w:pPr>
            <w:r w:rsidRPr="006B492C">
              <w:rPr>
                <w:rFonts w:asciiTheme="minorHAnsi" w:hAnsiTheme="minorHAnsi"/>
                <w:b/>
                <w:sz w:val="24"/>
              </w:rPr>
              <w:t>+   0   -</w:t>
            </w:r>
          </w:p>
        </w:tc>
        <w:tc>
          <w:tcPr>
            <w:tcW w:w="851" w:type="dxa"/>
            <w:vMerge/>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1134" w:type="dxa"/>
            <w:vAlign w:val="center"/>
          </w:tcPr>
          <w:p w:rsidR="006B492C" w:rsidRPr="006B492C" w:rsidRDefault="006B492C" w:rsidP="006B492C">
            <w:pPr>
              <w:overflowPunct/>
              <w:autoSpaceDE/>
              <w:autoSpaceDN/>
              <w:adjustRightInd/>
              <w:jc w:val="center"/>
              <w:textAlignment w:val="auto"/>
              <w:rPr>
                <w:rFonts w:asciiTheme="minorHAnsi" w:hAnsiTheme="minorHAnsi"/>
                <w:b/>
                <w:sz w:val="24"/>
              </w:rPr>
            </w:pPr>
            <w:r w:rsidRPr="006B492C">
              <w:rPr>
                <w:rFonts w:asciiTheme="minorHAnsi" w:hAnsiTheme="minorHAnsi"/>
                <w:b/>
                <w:sz w:val="24"/>
              </w:rPr>
              <w:t>+   0  -</w:t>
            </w: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Beispiele für Lagerhaltungskosten nennen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Beispiele für Bestellkosten nennen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 xml:space="preserve">die Ziele der Lagerhaltung erklären </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 xml:space="preserve">die Ziele der Beschaffung erklären </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 xml:space="preserve">1 </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413"/>
        </w:trPr>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den Zielkonflikt bei der Ermittlung der optimalen Bestellmenge erläutern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1, 2</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4</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413"/>
        </w:trPr>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Auswirkungen einer Veränderung der Bestellmenge auf Lager- und Bestellkosten erläutern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2,3</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300"/>
        </w:trPr>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die Bestellkosten berechnen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3 a</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224"/>
        </w:trPr>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den durchschnittlichen Lagerwert berechnen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3 a</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326"/>
        </w:trPr>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die Lagerkosten berechnen</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3 a</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624"/>
        </w:trPr>
        <w:tc>
          <w:tcPr>
            <w:tcW w:w="2093" w:type="dxa"/>
            <w:vMerge w:val="restart"/>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die optimale Bestellmenge ermitteln</w:t>
            </w:r>
          </w:p>
        </w:tc>
        <w:tc>
          <w:tcPr>
            <w:tcW w:w="2997"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tabellarisch (mithilfe eines Tabellenkalkulationsprogramms)</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Calibri" w:hAnsi="Calibri" w:cs="Calibri"/>
                <w:color w:val="000000"/>
              </w:rPr>
              <w:t>3 a</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6.1</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562"/>
        </w:trPr>
        <w:tc>
          <w:tcPr>
            <w:tcW w:w="2093" w:type="dxa"/>
            <w:vMerge/>
            <w:vAlign w:val="center"/>
          </w:tcPr>
          <w:p w:rsidR="006B492C" w:rsidRPr="006B492C" w:rsidRDefault="006B492C" w:rsidP="006B492C">
            <w:pPr>
              <w:overflowPunct/>
              <w:autoSpaceDE/>
              <w:autoSpaceDN/>
              <w:adjustRightInd/>
              <w:textAlignment w:val="auto"/>
              <w:rPr>
                <w:rFonts w:asciiTheme="minorHAnsi" w:hAnsiTheme="minorHAnsi"/>
              </w:rPr>
            </w:pPr>
          </w:p>
        </w:tc>
        <w:tc>
          <w:tcPr>
            <w:tcW w:w="2997"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grafisch (mithilfe eines Tabellenkalkulationsprogramms)</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3 b</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6.3</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rPr>
          <w:trHeight w:val="526"/>
        </w:trPr>
        <w:tc>
          <w:tcPr>
            <w:tcW w:w="2093" w:type="dxa"/>
            <w:vMerge/>
            <w:vAlign w:val="center"/>
          </w:tcPr>
          <w:p w:rsidR="006B492C" w:rsidRPr="006B492C" w:rsidRDefault="006B492C" w:rsidP="006B492C">
            <w:pPr>
              <w:overflowPunct/>
              <w:autoSpaceDE/>
              <w:autoSpaceDN/>
              <w:adjustRightInd/>
              <w:textAlignment w:val="auto"/>
              <w:rPr>
                <w:rFonts w:asciiTheme="minorHAnsi" w:hAnsiTheme="minorHAnsi"/>
              </w:rPr>
            </w:pPr>
          </w:p>
        </w:tc>
        <w:tc>
          <w:tcPr>
            <w:tcW w:w="2997"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 xml:space="preserve">anhand der </w:t>
            </w:r>
            <w:proofErr w:type="spellStart"/>
            <w:r w:rsidRPr="006B492C">
              <w:rPr>
                <w:rFonts w:asciiTheme="minorHAnsi" w:hAnsiTheme="minorHAnsi"/>
              </w:rPr>
              <w:t>Andler</w:t>
            </w:r>
            <w:proofErr w:type="spellEnd"/>
            <w:r w:rsidRPr="006B492C">
              <w:rPr>
                <w:rFonts w:asciiTheme="minorHAnsi" w:hAnsiTheme="minorHAnsi"/>
              </w:rPr>
              <w:t xml:space="preserve">-Formel </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3 c</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6.2</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 xml:space="preserve">die Anwendbarkeit des Modells der optimalen Bestellmenge im Hinblick auf die Praxis beurteilen </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4</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r w:rsidRPr="006B492C">
              <w:rPr>
                <w:rFonts w:ascii="Calibri" w:hAnsi="Calibri" w:cs="Calibri"/>
                <w:color w:val="000000"/>
              </w:rPr>
              <w:t>5</w:t>
            </w: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r w:rsidR="006B492C" w:rsidRPr="006B492C" w:rsidTr="00185A98">
        <w:tc>
          <w:tcPr>
            <w:tcW w:w="5090" w:type="dxa"/>
            <w:gridSpan w:val="2"/>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 xml:space="preserve">Auswirkungen erläutern, wenn ein Mindestbestand bei der Ermittlung der optimalen Bestellmenge zu berücksichtigen ist. </w:t>
            </w:r>
          </w:p>
        </w:tc>
        <w:tc>
          <w:tcPr>
            <w:tcW w:w="1397" w:type="dxa"/>
            <w:vAlign w:val="center"/>
          </w:tcPr>
          <w:p w:rsidR="006B492C" w:rsidRPr="006B492C" w:rsidRDefault="006B492C" w:rsidP="006B492C">
            <w:pPr>
              <w:overflowPunct/>
              <w:autoSpaceDE/>
              <w:autoSpaceDN/>
              <w:adjustRightInd/>
              <w:textAlignment w:val="auto"/>
              <w:rPr>
                <w:rFonts w:asciiTheme="minorHAnsi" w:hAnsiTheme="minorHAnsi"/>
              </w:rPr>
            </w:pPr>
          </w:p>
        </w:tc>
        <w:tc>
          <w:tcPr>
            <w:tcW w:w="992" w:type="dxa"/>
            <w:vAlign w:val="center"/>
          </w:tcPr>
          <w:p w:rsidR="006B492C" w:rsidRPr="006B492C" w:rsidRDefault="006B492C" w:rsidP="006B492C">
            <w:pPr>
              <w:overflowPunct/>
              <w:autoSpaceDE/>
              <w:autoSpaceDN/>
              <w:adjustRightInd/>
              <w:textAlignment w:val="auto"/>
              <w:rPr>
                <w:rFonts w:asciiTheme="minorHAnsi" w:hAnsiTheme="minorHAnsi"/>
              </w:rPr>
            </w:pPr>
            <w:r w:rsidRPr="006B492C">
              <w:rPr>
                <w:rFonts w:asciiTheme="minorHAnsi" w:hAnsiTheme="minorHAnsi"/>
              </w:rPr>
              <w:t>5</w:t>
            </w:r>
          </w:p>
        </w:tc>
        <w:tc>
          <w:tcPr>
            <w:tcW w:w="1134"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b/>
                <w:color w:val="000000"/>
              </w:rPr>
            </w:pPr>
          </w:p>
        </w:tc>
        <w:tc>
          <w:tcPr>
            <w:tcW w:w="851" w:type="dxa"/>
            <w:vAlign w:val="center"/>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c>
          <w:tcPr>
            <w:tcW w:w="1134" w:type="dxa"/>
          </w:tcPr>
          <w:p w:rsidR="006B492C" w:rsidRPr="006B492C" w:rsidRDefault="006B492C" w:rsidP="006B492C">
            <w:pPr>
              <w:overflowPunct/>
              <w:autoSpaceDE/>
              <w:autoSpaceDN/>
              <w:adjustRightInd/>
              <w:spacing w:after="200" w:line="276" w:lineRule="auto"/>
              <w:textAlignment w:val="auto"/>
              <w:rPr>
                <w:rFonts w:ascii="Calibri" w:hAnsi="Calibri" w:cs="Calibri"/>
                <w:color w:val="000000"/>
              </w:rPr>
            </w:pPr>
          </w:p>
        </w:tc>
      </w:tr>
    </w:tbl>
    <w:p w:rsidR="006B492C" w:rsidRPr="006B492C" w:rsidRDefault="006B492C" w:rsidP="006B492C">
      <w:pPr>
        <w:overflowPunct/>
        <w:autoSpaceDE/>
        <w:autoSpaceDN/>
        <w:adjustRightInd/>
        <w:spacing w:after="200" w:line="276" w:lineRule="auto"/>
        <w:textAlignment w:val="auto"/>
        <w:rPr>
          <w:rFonts w:ascii="Calibri" w:hAnsi="Calibri" w:cs="Calibri"/>
          <w:b/>
          <w:color w:val="000000"/>
          <w:sz w:val="24"/>
          <w:szCs w:val="24"/>
        </w:rPr>
      </w:pPr>
    </w:p>
    <w:p w:rsidR="00C362D9" w:rsidRPr="006B492C" w:rsidRDefault="00C362D9" w:rsidP="006B492C"/>
    <w:sectPr w:rsidR="00C362D9" w:rsidRPr="006B492C"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B8C" w:rsidRDefault="003E3B8C">
      <w:r>
        <w:separator/>
      </w:r>
    </w:p>
  </w:endnote>
  <w:endnote w:type="continuationSeparator" w:id="0">
    <w:p w:rsidR="003E3B8C" w:rsidRDefault="003E3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0F" w:rsidRDefault="00641BB4" w:rsidP="0039780F">
    <w:pPr>
      <w:pStyle w:val="Fuzeile"/>
      <w:tabs>
        <w:tab w:val="clear" w:pos="9072"/>
        <w:tab w:val="right" w:pos="9639"/>
      </w:tabs>
    </w:pPr>
    <w:r>
      <w:t>Die optimale Bestellmenge Horlacher</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B8C" w:rsidRDefault="003E3B8C">
      <w:r>
        <w:separator/>
      </w:r>
    </w:p>
  </w:footnote>
  <w:footnote w:type="continuationSeparator" w:id="0">
    <w:p w:rsidR="003E3B8C" w:rsidRDefault="003E3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2614D" w:rsidP="008A7CDC">
          <w:pPr>
            <w:spacing w:before="120"/>
            <w:rPr>
              <w:sz w:val="22"/>
            </w:rPr>
          </w:pP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p w:rsidR="00641BB4" w:rsidRDefault="00641BB4" w:rsidP="008A7CDC">
          <w:pPr>
            <w:rPr>
              <w:sz w:val="14"/>
            </w:rPr>
          </w:pPr>
          <w:r>
            <w:rPr>
              <w:sz w:val="14"/>
            </w:rPr>
            <w:t>Die optimale Bestellmenge</w:t>
          </w:r>
        </w:p>
      </w:tc>
      <w:tc>
        <w:tcPr>
          <w:tcW w:w="993" w:type="dxa"/>
          <w:tcBorders>
            <w:top w:val="single" w:sz="4" w:space="0" w:color="auto"/>
            <w:bottom w:val="nil"/>
          </w:tcBorders>
          <w:vAlign w:val="center"/>
        </w:tcPr>
        <w:p w:rsidR="00C2614D" w:rsidRDefault="00C2614D" w:rsidP="008A7CDC">
          <w:pPr>
            <w:rPr>
              <w:sz w:val="14"/>
            </w:rPr>
          </w:pPr>
          <w:r>
            <w:rPr>
              <w:sz w:val="14"/>
            </w:rPr>
            <w:t>Fach</w:t>
          </w:r>
        </w:p>
        <w:p w:rsidR="00641BB4" w:rsidRDefault="00641BB4" w:rsidP="008A7CDC">
          <w:pPr>
            <w:rPr>
              <w:sz w:val="14"/>
            </w:rPr>
          </w:pPr>
          <w:r>
            <w:rPr>
              <w:sz w:val="14"/>
            </w:rPr>
            <w:t>SP BWL</w:t>
          </w:r>
        </w:p>
      </w:tc>
      <w:tc>
        <w:tcPr>
          <w:tcW w:w="2693" w:type="dxa"/>
          <w:tcBorders>
            <w:top w:val="single" w:sz="4" w:space="0" w:color="auto"/>
            <w:bottom w:val="nil"/>
          </w:tcBorders>
          <w:vAlign w:val="center"/>
        </w:tcPr>
        <w:p w:rsidR="00C2614D" w:rsidRDefault="00C2614D" w:rsidP="008A7CDC">
          <w:pPr>
            <w:rPr>
              <w:sz w:val="14"/>
            </w:rPr>
          </w:pPr>
          <w:r>
            <w:rPr>
              <w:sz w:val="14"/>
            </w:rPr>
            <w:t>Name</w:t>
          </w:r>
        </w:p>
        <w:p w:rsidR="00641BB4" w:rsidRDefault="00641BB4" w:rsidP="008A7CDC">
          <w:pPr>
            <w:rPr>
              <w:sz w:val="14"/>
            </w:rPr>
          </w:pPr>
          <w:r>
            <w:rPr>
              <w:sz w:val="14"/>
            </w:rPr>
            <w:t>Horlacher</w:t>
          </w:r>
        </w:p>
      </w:tc>
      <w:tc>
        <w:tcPr>
          <w:tcW w:w="1417" w:type="dxa"/>
          <w:tcBorders>
            <w:top w:val="single" w:sz="4" w:space="0" w:color="auto"/>
            <w:bottom w:val="nil"/>
          </w:tcBorders>
          <w:vAlign w:val="center"/>
        </w:tcPr>
        <w:p w:rsidR="00C2614D" w:rsidRDefault="00C2614D" w:rsidP="008A7CDC">
          <w:pPr>
            <w:rPr>
              <w:sz w:val="14"/>
            </w:rPr>
          </w:pPr>
          <w:r>
            <w:rPr>
              <w:sz w:val="14"/>
            </w:rPr>
            <w:t>Datum</w:t>
          </w:r>
        </w:p>
        <w:p w:rsidR="00641BB4" w:rsidRDefault="00641BB4" w:rsidP="008A7CDC">
          <w:pPr>
            <w:rPr>
              <w:sz w:val="14"/>
            </w:rPr>
          </w:pPr>
          <w:r>
            <w:rPr>
              <w:sz w:val="14"/>
            </w:rPr>
            <w:t>25.05.2014</w:t>
          </w:r>
        </w:p>
      </w:tc>
      <w:tc>
        <w:tcPr>
          <w:tcW w:w="568" w:type="dxa"/>
          <w:tcBorders>
            <w:top w:val="single" w:sz="4" w:space="0" w:color="auto"/>
            <w:bottom w:val="nil"/>
          </w:tcBorders>
          <w:vAlign w:val="center"/>
        </w:tcPr>
        <w:p w:rsidR="00C2614D" w:rsidRDefault="00C2614D" w:rsidP="008A7CDC">
          <w:pPr>
            <w:rPr>
              <w:sz w:val="14"/>
            </w:rPr>
          </w:pPr>
          <w:r>
            <w:rPr>
              <w:sz w:val="14"/>
            </w:rPr>
            <w:t>Nr.</w:t>
          </w:r>
        </w:p>
        <w:p w:rsidR="00641BB4" w:rsidRDefault="006B492C" w:rsidP="008A7CDC">
          <w:pPr>
            <w:rPr>
              <w:sz w:val="14"/>
            </w:rPr>
          </w:pPr>
          <w:r>
            <w:rPr>
              <w:sz w:val="14"/>
            </w:rPr>
            <w:t>6</w:t>
          </w:r>
        </w:p>
      </w:tc>
    </w:tr>
  </w:tbl>
  <w:p w:rsidR="00C362D9" w:rsidRPr="00C2614D" w:rsidRDefault="00C362D9" w:rsidP="00641BB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32D79"/>
    <w:multiLevelType w:val="hybridMultilevel"/>
    <w:tmpl w:val="89BC540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27C3FCE"/>
    <w:multiLevelType w:val="hybridMultilevel"/>
    <w:tmpl w:val="22A2FF12"/>
    <w:lvl w:ilvl="0" w:tplc="0407000F">
      <w:start w:val="1"/>
      <w:numFmt w:val="decimal"/>
      <w:lvlText w:val="%1."/>
      <w:lvlJc w:val="left"/>
      <w:pPr>
        <w:ind w:left="360" w:hanging="360"/>
      </w:pPr>
      <w:rPr>
        <w:rFonts w:hint="default"/>
      </w:r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6F5E2DB9"/>
    <w:multiLevelType w:val="hybridMultilevel"/>
    <w:tmpl w:val="755480F4"/>
    <w:lvl w:ilvl="0" w:tplc="4724B5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DB8"/>
    <w:rsid w:val="000972AF"/>
    <w:rsid w:val="000D3796"/>
    <w:rsid w:val="00115923"/>
    <w:rsid w:val="001C7FF4"/>
    <w:rsid w:val="001D329B"/>
    <w:rsid w:val="00243FDA"/>
    <w:rsid w:val="002C696A"/>
    <w:rsid w:val="002E6130"/>
    <w:rsid w:val="00300225"/>
    <w:rsid w:val="0039780F"/>
    <w:rsid w:val="003A58DD"/>
    <w:rsid w:val="003E3B8C"/>
    <w:rsid w:val="004170E6"/>
    <w:rsid w:val="00574C3B"/>
    <w:rsid w:val="005E6E90"/>
    <w:rsid w:val="006226BF"/>
    <w:rsid w:val="00641BB4"/>
    <w:rsid w:val="006B492C"/>
    <w:rsid w:val="006B608E"/>
    <w:rsid w:val="0074043B"/>
    <w:rsid w:val="0074373D"/>
    <w:rsid w:val="007805BB"/>
    <w:rsid w:val="008B0265"/>
    <w:rsid w:val="00907757"/>
    <w:rsid w:val="00941DB8"/>
    <w:rsid w:val="00947962"/>
    <w:rsid w:val="00AA7190"/>
    <w:rsid w:val="00AC3F74"/>
    <w:rsid w:val="00AD5ABF"/>
    <w:rsid w:val="00C2614D"/>
    <w:rsid w:val="00C35A3D"/>
    <w:rsid w:val="00C362D9"/>
    <w:rsid w:val="00CE2B05"/>
    <w:rsid w:val="00D15BEF"/>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6E2DF-25F3-4D60-A674-A245588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imes New Roman" w:hAnsi="Century"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7404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780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2">
    <w:name w:val="Tabellenraster2"/>
    <w:basedOn w:val="NormaleTabelle"/>
    <w:next w:val="Tabellenraster"/>
    <w:uiPriority w:val="59"/>
    <w:rsid w:val="006B49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Tilman Horlacher</cp:lastModifiedBy>
  <cp:revision>3</cp:revision>
  <cp:lastPrinted>2012-10-23T08:09:00Z</cp:lastPrinted>
  <dcterms:created xsi:type="dcterms:W3CDTF">2014-05-29T06:09:00Z</dcterms:created>
  <dcterms:modified xsi:type="dcterms:W3CDTF">2014-05-29T06:10:00Z</dcterms:modified>
</cp:coreProperties>
</file>