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E1" w:rsidRPr="003B217B" w:rsidRDefault="00DC20E1" w:rsidP="00DC20E1">
      <w:pPr>
        <w:spacing w:after="200"/>
        <w:jc w:val="center"/>
        <w:rPr>
          <w:b/>
          <w:sz w:val="32"/>
          <w:szCs w:val="32"/>
          <w:lang w:val="en-US"/>
        </w:rPr>
      </w:pPr>
      <w:bookmarkStart w:id="0" w:name="_GoBack"/>
      <w:bookmarkEnd w:id="0"/>
      <w:r>
        <w:rPr>
          <w:b/>
          <w:sz w:val="32"/>
          <w:szCs w:val="32"/>
          <w:lang w:val="en-US"/>
        </w:rPr>
        <w:t>Some spelling rules</w:t>
      </w:r>
    </w:p>
    <w:p w:rsidR="00DC20E1" w:rsidRPr="00DC20E1" w:rsidRDefault="00DC20E1" w:rsidP="00DC20E1">
      <w:pPr>
        <w:spacing w:after="200"/>
        <w:rPr>
          <w:i/>
          <w:sz w:val="24"/>
          <w:szCs w:val="24"/>
          <w:lang w:val="en-US"/>
        </w:rPr>
      </w:pPr>
      <w:r w:rsidRPr="00DC20E1">
        <w:rPr>
          <w:i/>
          <w:sz w:val="24"/>
          <w:szCs w:val="24"/>
          <w:lang w:val="en-US"/>
        </w:rPr>
        <w:t>Complete the table with the spelling rules that you can remember. Then share your results with the class: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C20E1" w:rsidRPr="000F2854" w:rsidTr="00DC20E1">
        <w:tc>
          <w:tcPr>
            <w:tcW w:w="9889" w:type="dxa"/>
          </w:tcPr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0B71B8">
              <w:rPr>
                <w:b/>
                <w:szCs w:val="24"/>
                <w:lang w:val="en-US"/>
              </w:rPr>
              <w:t>We capitalize letters ...</w:t>
            </w:r>
          </w:p>
          <w:p w:rsidR="00DC20E1" w:rsidRPr="000F2854" w:rsidRDefault="00DC20E1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lang w:val="en-US"/>
              </w:rPr>
            </w:pPr>
          </w:p>
          <w:p w:rsidR="00DC20E1" w:rsidRPr="000F2854" w:rsidRDefault="00DC20E1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lang w:val="en-US"/>
              </w:rPr>
            </w:pPr>
          </w:p>
          <w:p w:rsidR="00DC20E1" w:rsidRPr="000F2854" w:rsidRDefault="00DC20E1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lang w:val="en-US"/>
              </w:rPr>
            </w:pPr>
          </w:p>
          <w:p w:rsidR="00DC20E1" w:rsidRPr="000F2854" w:rsidRDefault="00DC20E1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lang w:val="en-US"/>
              </w:rPr>
            </w:pPr>
          </w:p>
        </w:tc>
      </w:tr>
      <w:tr w:rsidR="00DC20E1" w:rsidRPr="0018194B" w:rsidTr="00DC20E1">
        <w:tc>
          <w:tcPr>
            <w:tcW w:w="9889" w:type="dxa"/>
          </w:tcPr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0B71B8">
              <w:rPr>
                <w:b/>
                <w:szCs w:val="24"/>
                <w:lang w:val="en-US"/>
              </w:rPr>
              <w:t xml:space="preserve">When a noun ends in </w:t>
            </w:r>
            <w:r w:rsidRPr="000B71B8">
              <w:rPr>
                <w:b/>
                <w:i/>
                <w:szCs w:val="24"/>
                <w:lang w:val="en-US"/>
              </w:rPr>
              <w:t>–y</w:t>
            </w:r>
            <w:r w:rsidRPr="000B71B8">
              <w:rPr>
                <w:b/>
                <w:szCs w:val="24"/>
                <w:lang w:val="en-US"/>
              </w:rPr>
              <w:t>, ...</w:t>
            </w:r>
          </w:p>
          <w:p w:rsidR="00DC20E1" w:rsidRPr="000F2854" w:rsidRDefault="00DC20E1" w:rsidP="00DC20E1">
            <w:pPr>
              <w:spacing w:before="120" w:after="200" w:line="360" w:lineRule="auto"/>
              <w:rPr>
                <w:szCs w:val="24"/>
                <w:lang w:val="en-US"/>
              </w:rPr>
            </w:pPr>
          </w:p>
        </w:tc>
      </w:tr>
      <w:tr w:rsidR="00DC20E1" w:rsidRPr="0018194B" w:rsidTr="00DC20E1">
        <w:tc>
          <w:tcPr>
            <w:tcW w:w="9889" w:type="dxa"/>
          </w:tcPr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0B71B8">
              <w:rPr>
                <w:b/>
                <w:szCs w:val="24"/>
                <w:lang w:val="en-US"/>
              </w:rPr>
              <w:t>We use the article “</w:t>
            </w:r>
            <w:r w:rsidRPr="000B71B8">
              <w:rPr>
                <w:b/>
                <w:i/>
                <w:szCs w:val="24"/>
                <w:lang w:val="en-US"/>
              </w:rPr>
              <w:t>a”</w:t>
            </w:r>
            <w:r w:rsidRPr="000B71B8">
              <w:rPr>
                <w:b/>
                <w:szCs w:val="24"/>
                <w:lang w:val="en-US"/>
              </w:rPr>
              <w:t xml:space="preserve"> when ...</w:t>
            </w: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0B71B8">
              <w:rPr>
                <w:b/>
                <w:szCs w:val="24"/>
                <w:lang w:val="en-US"/>
              </w:rPr>
              <w:t>We use the article “</w:t>
            </w:r>
            <w:r w:rsidRPr="000B71B8">
              <w:rPr>
                <w:b/>
                <w:i/>
                <w:szCs w:val="24"/>
                <w:lang w:val="en-US"/>
              </w:rPr>
              <w:t xml:space="preserve">an” </w:t>
            </w:r>
            <w:r w:rsidRPr="000B71B8">
              <w:rPr>
                <w:b/>
                <w:szCs w:val="24"/>
                <w:lang w:val="en-US"/>
              </w:rPr>
              <w:t>when ...</w:t>
            </w: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</w:p>
        </w:tc>
      </w:tr>
      <w:tr w:rsidR="00DC20E1" w:rsidRPr="000F2854" w:rsidTr="00DC20E1">
        <w:tc>
          <w:tcPr>
            <w:tcW w:w="9889" w:type="dxa"/>
          </w:tcPr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0B71B8">
              <w:rPr>
                <w:b/>
                <w:szCs w:val="24"/>
                <w:lang w:val="en-US"/>
              </w:rPr>
              <w:t>We use an apostrophe ...</w:t>
            </w: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</w:p>
        </w:tc>
      </w:tr>
      <w:tr w:rsidR="00DC20E1" w:rsidRPr="000F2854" w:rsidTr="00DC20E1">
        <w:tc>
          <w:tcPr>
            <w:tcW w:w="9889" w:type="dxa"/>
          </w:tcPr>
          <w:p w:rsidR="00DC20E1" w:rsidRPr="000B71B8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  <w:r w:rsidRPr="000B71B8">
              <w:rPr>
                <w:b/>
                <w:lang w:val="en-US"/>
              </w:rPr>
              <w:t>Others:</w:t>
            </w: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  <w:p w:rsidR="00DC20E1" w:rsidRPr="000B71B8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</w:tc>
      </w:tr>
    </w:tbl>
    <w:p w:rsidR="00DC20E1" w:rsidRDefault="00DC20E1" w:rsidP="00DC20E1">
      <w:pPr>
        <w:spacing w:after="200"/>
        <w:rPr>
          <w:lang w:val="en-US"/>
        </w:rPr>
      </w:pPr>
    </w:p>
    <w:p w:rsidR="00DC20E1" w:rsidRPr="000F2854" w:rsidRDefault="00DC20E1" w:rsidP="00DC20E1">
      <w:pPr>
        <w:spacing w:after="200"/>
        <w:rPr>
          <w:lang w:val="en-US"/>
        </w:rPr>
      </w:pPr>
    </w:p>
    <w:p w:rsidR="00DC20E1" w:rsidRPr="003B217B" w:rsidRDefault="00DC20E1" w:rsidP="00DC20E1">
      <w:pPr>
        <w:spacing w:after="20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lastRenderedPageBreak/>
        <w:t>Some spelling rules (suggested solution)</w:t>
      </w:r>
    </w:p>
    <w:p w:rsidR="00DC20E1" w:rsidRPr="00DC20E1" w:rsidRDefault="00DC20E1" w:rsidP="00DC20E1">
      <w:pPr>
        <w:spacing w:after="200"/>
        <w:rPr>
          <w:i/>
          <w:sz w:val="24"/>
          <w:szCs w:val="24"/>
          <w:lang w:val="en-US"/>
        </w:rPr>
      </w:pPr>
      <w:r w:rsidRPr="00DC20E1">
        <w:rPr>
          <w:i/>
          <w:sz w:val="24"/>
          <w:szCs w:val="24"/>
          <w:lang w:val="en-US"/>
        </w:rPr>
        <w:t>Complete the table with the spelling rules that you can remember. Then share your results with the class: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9"/>
      </w:tblGrid>
      <w:tr w:rsidR="00DC20E1" w:rsidRPr="0018194B" w:rsidTr="00DC20E1">
        <w:tc>
          <w:tcPr>
            <w:tcW w:w="9889" w:type="dxa"/>
          </w:tcPr>
          <w:p w:rsidR="00DC20E1" w:rsidRPr="00DC20E1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DC20E1">
              <w:rPr>
                <w:b/>
                <w:szCs w:val="24"/>
                <w:lang w:val="en-US"/>
              </w:rPr>
              <w:t>We capitalize letters ...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at the beginning of sentences</w:t>
            </w:r>
          </w:p>
          <w:p w:rsidR="00DC20E1" w:rsidRPr="00DC20E1" w:rsidRDefault="004741FC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when they are first letters</w:t>
            </w:r>
            <w:r w:rsidR="00DC20E1" w:rsidRPr="00DC20E1">
              <w:rPr>
                <w:rFonts w:ascii="Comic Sans MS" w:hAnsi="Comic Sans MS"/>
                <w:b/>
                <w:lang w:val="en-US"/>
              </w:rPr>
              <w:t xml:space="preserve"> of proper names (including place names, names of institutions, weekdays, holidays etc.)</w:t>
            </w:r>
          </w:p>
          <w:p w:rsidR="00DC20E1" w:rsidRPr="00DC20E1" w:rsidRDefault="004741FC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when they are first letters of</w:t>
            </w:r>
            <w:r w:rsidR="00DC20E1" w:rsidRPr="00DC20E1">
              <w:rPr>
                <w:rFonts w:ascii="Comic Sans MS" w:hAnsi="Comic Sans MS"/>
                <w:b/>
                <w:lang w:val="en-US"/>
              </w:rPr>
              <w:t xml:space="preserve"> adjectives that refer to nationalities or languages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1"/>
              </w:numPr>
              <w:spacing w:before="120" w:line="360" w:lineRule="auto"/>
              <w:rPr>
                <w:rFonts w:ascii="Comic Sans MS" w:hAnsi="Comic Sans MS"/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when we write the pronoun “I”</w:t>
            </w:r>
          </w:p>
        </w:tc>
      </w:tr>
      <w:tr w:rsidR="00DC20E1" w:rsidRPr="0018194B" w:rsidTr="00DC20E1">
        <w:tc>
          <w:tcPr>
            <w:tcW w:w="9889" w:type="dxa"/>
          </w:tcPr>
          <w:p w:rsidR="00DC20E1" w:rsidRPr="00DC20E1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DC20E1">
              <w:rPr>
                <w:b/>
                <w:szCs w:val="24"/>
                <w:lang w:val="en-US"/>
              </w:rPr>
              <w:t xml:space="preserve">When a noun ends in </w:t>
            </w:r>
            <w:r w:rsidRPr="00DC20E1">
              <w:rPr>
                <w:b/>
                <w:i/>
                <w:szCs w:val="24"/>
                <w:lang w:val="en-US"/>
              </w:rPr>
              <w:t>–y</w:t>
            </w:r>
            <w:r w:rsidRPr="00DC20E1">
              <w:rPr>
                <w:b/>
                <w:szCs w:val="24"/>
                <w:lang w:val="en-US"/>
              </w:rPr>
              <w:t>, ...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2"/>
              </w:numPr>
              <w:spacing w:before="120" w:line="360" w:lineRule="auto"/>
              <w:rPr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 xml:space="preserve">the plural form is spelled </w:t>
            </w:r>
            <w:r w:rsidRPr="00DC20E1">
              <w:rPr>
                <w:rFonts w:ascii="Comic Sans MS" w:hAnsi="Comic Sans MS"/>
                <w:b/>
                <w:i/>
                <w:lang w:val="en-US"/>
              </w:rPr>
              <w:t>- ies</w:t>
            </w:r>
          </w:p>
        </w:tc>
      </w:tr>
      <w:tr w:rsidR="00DC20E1" w:rsidRPr="004741FC" w:rsidTr="00DC20E1">
        <w:tc>
          <w:tcPr>
            <w:tcW w:w="9889" w:type="dxa"/>
          </w:tcPr>
          <w:p w:rsidR="00DC20E1" w:rsidRPr="00DC20E1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DC20E1">
              <w:rPr>
                <w:b/>
                <w:szCs w:val="24"/>
                <w:lang w:val="en-US"/>
              </w:rPr>
              <w:t>We use the article “</w:t>
            </w:r>
            <w:r w:rsidRPr="00DC20E1">
              <w:rPr>
                <w:b/>
                <w:i/>
                <w:szCs w:val="24"/>
                <w:lang w:val="en-US"/>
              </w:rPr>
              <w:t>a”</w:t>
            </w:r>
            <w:r w:rsidRPr="00DC20E1">
              <w:rPr>
                <w:b/>
                <w:szCs w:val="24"/>
                <w:lang w:val="en-US"/>
              </w:rPr>
              <w:t xml:space="preserve"> when ...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2"/>
              </w:numPr>
              <w:spacing w:before="120" w:line="360" w:lineRule="auto"/>
              <w:rPr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the following word begins with a consonant</w:t>
            </w:r>
          </w:p>
          <w:p w:rsidR="00DC20E1" w:rsidRPr="00DC20E1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DC20E1">
              <w:rPr>
                <w:b/>
                <w:szCs w:val="24"/>
                <w:lang w:val="en-US"/>
              </w:rPr>
              <w:t>We use the article “</w:t>
            </w:r>
            <w:r w:rsidRPr="00DC20E1">
              <w:rPr>
                <w:b/>
                <w:i/>
                <w:szCs w:val="24"/>
                <w:lang w:val="en-US"/>
              </w:rPr>
              <w:t xml:space="preserve">an” </w:t>
            </w:r>
            <w:r w:rsidRPr="00DC20E1">
              <w:rPr>
                <w:b/>
                <w:szCs w:val="24"/>
                <w:lang w:val="en-US"/>
              </w:rPr>
              <w:t>when ...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2"/>
              </w:numPr>
              <w:spacing w:before="120" w:line="360" w:lineRule="auto"/>
              <w:rPr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the following word begins with a vowel (i</w:t>
            </w:r>
            <w:r w:rsidR="0018194B">
              <w:rPr>
                <w:rFonts w:ascii="Comic Sans MS" w:hAnsi="Comic Sans MS"/>
                <w:b/>
                <w:lang w:val="en-US"/>
              </w:rPr>
              <w:t>n</w:t>
            </w:r>
            <w:r w:rsidRPr="00DC20E1">
              <w:rPr>
                <w:rFonts w:ascii="Comic Sans MS" w:hAnsi="Comic Sans MS"/>
                <w:b/>
                <w:lang w:val="en-US"/>
              </w:rPr>
              <w:t>cluding “y”)</w:t>
            </w:r>
          </w:p>
        </w:tc>
      </w:tr>
      <w:tr w:rsidR="00DC20E1" w:rsidRPr="0018194B" w:rsidTr="00DC20E1">
        <w:tc>
          <w:tcPr>
            <w:tcW w:w="9889" w:type="dxa"/>
          </w:tcPr>
          <w:p w:rsidR="00DC20E1" w:rsidRPr="00DC20E1" w:rsidRDefault="00DC20E1" w:rsidP="00DC20E1">
            <w:pPr>
              <w:spacing w:before="120" w:after="200" w:line="360" w:lineRule="auto"/>
              <w:rPr>
                <w:b/>
                <w:szCs w:val="24"/>
                <w:lang w:val="en-US"/>
              </w:rPr>
            </w:pPr>
            <w:r w:rsidRPr="00DC20E1">
              <w:rPr>
                <w:b/>
                <w:szCs w:val="24"/>
                <w:lang w:val="en-US"/>
              </w:rPr>
              <w:t>We use an apostrophe ...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2"/>
              </w:numPr>
              <w:spacing w:before="120" w:line="360" w:lineRule="auto"/>
              <w:rPr>
                <w:rFonts w:ascii="Comic Sans MS" w:hAnsi="Comic Sans MS"/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with genitive forms (“my father’s book”)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2"/>
              </w:numPr>
              <w:spacing w:before="120" w:line="360" w:lineRule="auto"/>
              <w:rPr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when we leave out a letter or letters in a short form (“I’m”, “you’ve”)</w:t>
            </w:r>
          </w:p>
        </w:tc>
      </w:tr>
      <w:tr w:rsidR="00DC20E1" w:rsidRPr="0018194B" w:rsidTr="00DC20E1">
        <w:tc>
          <w:tcPr>
            <w:tcW w:w="9889" w:type="dxa"/>
          </w:tcPr>
          <w:p w:rsidR="00DC20E1" w:rsidRPr="00DC20E1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  <w:r w:rsidRPr="00DC20E1">
              <w:rPr>
                <w:b/>
                <w:lang w:val="en-US"/>
              </w:rPr>
              <w:t>Others:</w:t>
            </w:r>
          </w:p>
          <w:p w:rsidR="00DC20E1" w:rsidRPr="00DC20E1" w:rsidRDefault="00DC20E1" w:rsidP="00DC20E1">
            <w:pPr>
              <w:pStyle w:val="Listenabsatz"/>
              <w:numPr>
                <w:ilvl w:val="0"/>
                <w:numId w:val="3"/>
              </w:numPr>
              <w:spacing w:before="120" w:line="360" w:lineRule="auto"/>
              <w:rPr>
                <w:b/>
                <w:lang w:val="en-US"/>
              </w:rPr>
            </w:pPr>
            <w:r w:rsidRPr="00DC20E1">
              <w:rPr>
                <w:rFonts w:ascii="Comic Sans MS" w:hAnsi="Comic Sans MS"/>
                <w:b/>
                <w:lang w:val="en-US"/>
              </w:rPr>
              <w:t>(depending on the errors that occurred in a specific class)</w:t>
            </w:r>
          </w:p>
          <w:p w:rsidR="00DC20E1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  <w:p w:rsidR="00DC20E1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  <w:p w:rsidR="00DC20E1" w:rsidRPr="00DC20E1" w:rsidRDefault="00DC20E1" w:rsidP="00DC20E1">
            <w:pPr>
              <w:spacing w:before="120" w:after="200" w:line="360" w:lineRule="auto"/>
              <w:rPr>
                <w:b/>
                <w:lang w:val="en-US"/>
              </w:rPr>
            </w:pPr>
          </w:p>
        </w:tc>
      </w:tr>
    </w:tbl>
    <w:p w:rsidR="00DC20E1" w:rsidRPr="000F2854" w:rsidRDefault="00DC20E1" w:rsidP="00DC20E1">
      <w:pPr>
        <w:spacing w:after="200"/>
        <w:rPr>
          <w:lang w:val="en-US"/>
        </w:rPr>
      </w:pPr>
    </w:p>
    <w:p w:rsidR="00C362D9" w:rsidRPr="00DC20E1" w:rsidRDefault="00C362D9" w:rsidP="00DC20E1">
      <w:pPr>
        <w:spacing w:before="120" w:after="200"/>
        <w:rPr>
          <w:sz w:val="22"/>
          <w:lang w:val="en-US"/>
        </w:rPr>
      </w:pPr>
    </w:p>
    <w:sectPr w:rsidR="00C362D9" w:rsidRPr="00DC20E1" w:rsidSect="00CE2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B4" w:rsidRDefault="00F601B4">
      <w:r>
        <w:separator/>
      </w:r>
    </w:p>
  </w:endnote>
  <w:endnote w:type="continuationSeparator" w:id="0">
    <w:p w:rsidR="00F601B4" w:rsidRDefault="00F6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B4" w:rsidRDefault="00F601B4">
      <w:r>
        <w:separator/>
      </w:r>
    </w:p>
  </w:footnote>
  <w:footnote w:type="continuationSeparator" w:id="0">
    <w:p w:rsidR="00F601B4" w:rsidRDefault="00F60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28B1"/>
    <w:multiLevelType w:val="hybridMultilevel"/>
    <w:tmpl w:val="94EE1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4D98"/>
    <w:multiLevelType w:val="hybridMultilevel"/>
    <w:tmpl w:val="119CDC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607FCC"/>
    <w:multiLevelType w:val="hybridMultilevel"/>
    <w:tmpl w:val="2E303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8194B"/>
    <w:rsid w:val="001D329B"/>
    <w:rsid w:val="00243FDA"/>
    <w:rsid w:val="002C696A"/>
    <w:rsid w:val="002E6130"/>
    <w:rsid w:val="00300225"/>
    <w:rsid w:val="003429F3"/>
    <w:rsid w:val="0039780F"/>
    <w:rsid w:val="003A58DD"/>
    <w:rsid w:val="003F5A3B"/>
    <w:rsid w:val="004170E6"/>
    <w:rsid w:val="004741FC"/>
    <w:rsid w:val="00532688"/>
    <w:rsid w:val="00574C3B"/>
    <w:rsid w:val="00582DB6"/>
    <w:rsid w:val="005E6E90"/>
    <w:rsid w:val="006226BF"/>
    <w:rsid w:val="006B608E"/>
    <w:rsid w:val="008713FA"/>
    <w:rsid w:val="008B0265"/>
    <w:rsid w:val="00907757"/>
    <w:rsid w:val="00941DB8"/>
    <w:rsid w:val="00947962"/>
    <w:rsid w:val="00A3652F"/>
    <w:rsid w:val="00AA7190"/>
    <w:rsid w:val="00AC3F74"/>
    <w:rsid w:val="00AD5ABF"/>
    <w:rsid w:val="00B70039"/>
    <w:rsid w:val="00BF2BBA"/>
    <w:rsid w:val="00C2614D"/>
    <w:rsid w:val="00C362D9"/>
    <w:rsid w:val="00CC58D2"/>
    <w:rsid w:val="00CE2B05"/>
    <w:rsid w:val="00D15BEF"/>
    <w:rsid w:val="00DC20E1"/>
    <w:rsid w:val="00DD5449"/>
    <w:rsid w:val="00DF14B7"/>
    <w:rsid w:val="00E04777"/>
    <w:rsid w:val="00E3400A"/>
    <w:rsid w:val="00E837CD"/>
    <w:rsid w:val="00ED1BF7"/>
    <w:rsid w:val="00F601B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C20E1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DC20E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C20E1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DC20E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1011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2014-10-15T13:52:00Z</dcterms:created>
  <dcterms:modified xsi:type="dcterms:W3CDTF">2014-10-15T13:52:00Z</dcterms:modified>
</cp:coreProperties>
</file>