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9" w:rsidRPr="00504FF9" w:rsidRDefault="00FA71B8" w:rsidP="00AA7190">
      <w:pPr>
        <w:spacing w:before="12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3190C6B" wp14:editId="72FE0BFB">
            <wp:simplePos x="0" y="0"/>
            <wp:positionH relativeFrom="column">
              <wp:posOffset>5418582</wp:posOffset>
            </wp:positionH>
            <wp:positionV relativeFrom="paragraph">
              <wp:posOffset>-150622</wp:posOffset>
            </wp:positionV>
            <wp:extent cx="1134000" cy="31320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0" cy="31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4FF9" w:rsidRPr="00504FF9">
        <w:rPr>
          <w:b/>
          <w:sz w:val="28"/>
          <w:szCs w:val="28"/>
        </w:rPr>
        <w:t>Inbetriebnahme der Anlage mit evtl. Fehlersuche</w:t>
      </w:r>
    </w:p>
    <w:p w:rsidR="00504FF9" w:rsidRDefault="00504FF9" w:rsidP="00AA7190">
      <w:pPr>
        <w:spacing w:before="120"/>
      </w:pPr>
    </w:p>
    <w:p w:rsidR="00504FF9" w:rsidRPr="00504FF9" w:rsidRDefault="00504FF9" w:rsidP="00504FF9">
      <w:pPr>
        <w:spacing w:after="120"/>
        <w:rPr>
          <w:b/>
        </w:rPr>
      </w:pPr>
      <w:bookmarkStart w:id="0" w:name="bookmark0"/>
      <w:r w:rsidRPr="00504FF9">
        <w:rPr>
          <w:b/>
        </w:rPr>
        <w:t>Allgemeines</w:t>
      </w:r>
      <w:bookmarkEnd w:id="0"/>
    </w:p>
    <w:p w:rsidR="00F1286D" w:rsidRDefault="00F1286D" w:rsidP="00504FF9">
      <w:pPr>
        <w:spacing w:after="40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Zentrale Vorschriften für die Prüfung elektrischer Anlagen mit ortsfesten Betriebsmitteln finden sich in de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n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</w:t>
      </w:r>
      <w:hyperlink r:id="rId9" w:tooltip="Verband der Elektrotechnik, Elektronik und Informationstechnik" w:history="1">
        <w:r w:rsidRPr="00F1286D"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VDE</w:t>
        </w:r>
      </w:hyperlink>
      <w:r w:rsidRPr="00F1286D"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-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Normen 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„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DIN VDE 0100-600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“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und 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„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DIN VDE 0105-100</w:t>
      </w:r>
      <w:r w:rsidR="004D2DC7">
        <w:rPr>
          <w:rFonts w:ascii="Arial" w:hAnsi="Arial" w:cs="Arial"/>
          <w:color w:val="252525"/>
          <w:sz w:val="21"/>
          <w:szCs w:val="21"/>
          <w:shd w:val="clear" w:color="auto" w:fill="FFFFFF"/>
        </w:rPr>
        <w:t>“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. </w:t>
      </w:r>
    </w:p>
    <w:p w:rsidR="00504FF9" w:rsidRPr="00504FF9" w:rsidRDefault="00504FF9" w:rsidP="00F1286D">
      <w:pPr>
        <w:spacing w:before="120" w:after="40"/>
      </w:pPr>
      <w:r w:rsidRPr="00504FF9">
        <w:t>Nach DIN VDE 0100-600 besteht folgende Forderung:</w:t>
      </w:r>
    </w:p>
    <w:p w:rsidR="00504FF9" w:rsidRPr="00F050E7" w:rsidRDefault="00504FF9" w:rsidP="00504FF9">
      <w:pPr>
        <w:rPr>
          <w:i/>
        </w:rPr>
      </w:pPr>
      <w:r w:rsidRPr="00F050E7">
        <w:rPr>
          <w:i/>
        </w:rPr>
        <w:t>Jede Anlage muss nach der Fertigstellung geprüft werden, bevor sie vom Benutzer in Betrieb genommen wird.“ Diese Forderung gilt auch für elektrische Anlagen, die geändert und/oder erweitert werden.</w:t>
      </w:r>
    </w:p>
    <w:p w:rsidR="00504FF9" w:rsidRDefault="00504FF9" w:rsidP="00504FF9"/>
    <w:p w:rsidR="00504FF9" w:rsidRPr="00504FF9" w:rsidRDefault="00504FF9" w:rsidP="00F050E7">
      <w:pPr>
        <w:spacing w:before="60" w:after="120"/>
        <w:rPr>
          <w:b/>
        </w:rPr>
      </w:pPr>
      <w:r w:rsidRPr="00504FF9">
        <w:rPr>
          <w:b/>
        </w:rPr>
        <w:t>Reihenfolge der Prüfungen</w:t>
      </w:r>
    </w:p>
    <w:p w:rsidR="00504FF9" w:rsidRDefault="00504FF9" w:rsidP="00504FF9">
      <w:r w:rsidRPr="00504FF9">
        <w:t>Aus Sicherheitsgründen ist die Überprüfu</w:t>
      </w:r>
      <w:r>
        <w:t>ng elektrischer Anlagen in folgender</w:t>
      </w:r>
      <w:r w:rsidRPr="00504FF9">
        <w:t xml:space="preserve"> festen Reihenfolge</w:t>
      </w:r>
      <w:r w:rsidRPr="00504FF9">
        <w:br/>
        <w:t>durchzuführen.</w:t>
      </w:r>
    </w:p>
    <w:p w:rsidR="00504FF9" w:rsidRPr="00504FF9" w:rsidRDefault="00504FF9" w:rsidP="00504FF9"/>
    <w:p w:rsidR="00504FF9" w:rsidRPr="00504FF9" w:rsidRDefault="00504FF9" w:rsidP="00504FF9">
      <w:pPr>
        <w:pStyle w:val="Listenabsatz"/>
        <w:numPr>
          <w:ilvl w:val="0"/>
          <w:numId w:val="1"/>
        </w:numPr>
      </w:pPr>
      <w:r w:rsidRPr="00504FF9">
        <w:t>Besichtigen</w:t>
      </w:r>
      <w:r w:rsidR="00682CD1">
        <w:t>,</w:t>
      </w:r>
    </w:p>
    <w:p w:rsidR="00504FF9" w:rsidRPr="00504FF9" w:rsidRDefault="00504FF9" w:rsidP="00504FF9">
      <w:pPr>
        <w:pStyle w:val="Listenabsatz"/>
        <w:numPr>
          <w:ilvl w:val="0"/>
          <w:numId w:val="1"/>
        </w:numPr>
      </w:pPr>
      <w:r w:rsidRPr="00504FF9">
        <w:t>Erproben und</w:t>
      </w:r>
    </w:p>
    <w:p w:rsidR="00504FF9" w:rsidRPr="00504FF9" w:rsidRDefault="00504FF9" w:rsidP="00504FF9">
      <w:pPr>
        <w:pStyle w:val="Listenabsatz"/>
        <w:numPr>
          <w:ilvl w:val="0"/>
          <w:numId w:val="1"/>
        </w:numPr>
      </w:pPr>
      <w:r w:rsidRPr="00504FF9">
        <w:t>Messen</w:t>
      </w:r>
    </w:p>
    <w:p w:rsidR="006B6AC4" w:rsidRDefault="006B6AC4" w:rsidP="00504FF9"/>
    <w:p w:rsidR="006B6AC4" w:rsidRPr="006B6AC4" w:rsidRDefault="006B6AC4" w:rsidP="006B6AC4">
      <w:pPr>
        <w:rPr>
          <w:rFonts w:ascii="Arial" w:hAnsi="Arial" w:cs="Arial"/>
          <w:b/>
        </w:rPr>
      </w:pPr>
      <w:r w:rsidRPr="006B6AC4">
        <w:rPr>
          <w:rFonts w:ascii="Arial" w:hAnsi="Arial" w:cs="Arial"/>
          <w:b/>
        </w:rPr>
        <w:t>Besichtigen</w:t>
      </w:r>
    </w:p>
    <w:p w:rsidR="006B6AC4" w:rsidRDefault="006B6AC4" w:rsidP="006B6AC4">
      <w:r>
        <w:t>Das Besichtigen ist üblicherweise bei abgeschalteter Anlage durchzuführen. Dies sollte</w:t>
      </w:r>
      <w:r>
        <w:br/>
        <w:t>besonders sorgfältig erfolgen. Dazu gehört</w:t>
      </w:r>
      <w:r w:rsidR="004F7EF0">
        <w:t xml:space="preserve"> </w:t>
      </w:r>
      <w:r w:rsidR="00682CD1">
        <w:t>z.B.</w:t>
      </w:r>
      <w:r w:rsidR="004F7EF0">
        <w:t>:</w:t>
      </w:r>
    </w:p>
    <w:p w:rsidR="006B6AC4" w:rsidRDefault="006B6AC4" w:rsidP="006B6AC4"/>
    <w:p w:rsidR="006B6AC4" w:rsidRDefault="006B6AC4" w:rsidP="00FB1BAE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>
        <w:t>Die Kontrolle der fachgerechten Installation,</w:t>
      </w:r>
      <w:r w:rsidR="00AD035A">
        <w:t xml:space="preserve"> z.B. Leitungsverlegung, Leitungsquerschnitt, Klemmstellen und das </w:t>
      </w:r>
      <w:r w:rsidR="00682CD1">
        <w:t>Vorhandensein</w:t>
      </w:r>
      <w:r w:rsidR="00AD035A">
        <w:t xml:space="preserve"> von Überstromschutzeinrichtungen mit normgerecht dimensionierten Bemessungsströmen.</w:t>
      </w:r>
    </w:p>
    <w:p w:rsidR="00AD035A" w:rsidRDefault="00AD035A" w:rsidP="00053D4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>
        <w:t>Die Prüfung, ob alle Schutzleiter sowie der Potential</w:t>
      </w:r>
      <w:r w:rsidR="00FB1BAE">
        <w:t>ausgleichsleiter mit der PE-Schiene verbunden sind.</w:t>
      </w:r>
    </w:p>
    <w:p w:rsidR="00053D40" w:rsidRPr="00053D40" w:rsidRDefault="00053D40" w:rsidP="00053D4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053D40">
        <w:t>Die Prüfung das alle elektrische</w:t>
      </w:r>
      <w:r w:rsidR="00682CD1">
        <w:t>n</w:t>
      </w:r>
      <w:r w:rsidRPr="00053D40">
        <w:t xml:space="preserve"> Betriebsmittel ohne erkennbare Schäden (z.B. geplatzte Gehäuse in Folge</w:t>
      </w:r>
      <w:r>
        <w:t xml:space="preserve"> </w:t>
      </w:r>
      <w:r w:rsidRPr="00053D40">
        <w:t>zu fest angezogener Schrauben) und entsprechend geschlossen (z.B. Blindabdeckungen in Verteilungen) sind.</w:t>
      </w:r>
    </w:p>
    <w:p w:rsidR="00053D40" w:rsidRDefault="00682CD1" w:rsidP="00053D4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053D40">
        <w:t>Ebenfalls muss gepr</w:t>
      </w:r>
      <w:r>
        <w:t>üft werden, ob der Schutz gegen direktes Berühren aktiver Teile und somit gegen elektrischen Schlag erfüllt ist.</w:t>
      </w:r>
    </w:p>
    <w:p w:rsidR="004F7EF0" w:rsidRDefault="004F7EF0" w:rsidP="004F7EF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4F7EF0">
        <w:t>D</w:t>
      </w:r>
      <w:r>
        <w:t xml:space="preserve">as </w:t>
      </w:r>
      <w:r w:rsidR="00682CD1">
        <w:t>Vorhandensein</w:t>
      </w:r>
      <w:r>
        <w:t xml:space="preserve"> der</w:t>
      </w:r>
      <w:r w:rsidRPr="004F7EF0">
        <w:t xml:space="preserve"> Schaltpläne,</w:t>
      </w:r>
      <w:r>
        <w:t xml:space="preserve"> Beschriftungen der Stromkreise und evtl. notwendigen </w:t>
      </w:r>
      <w:r w:rsidRPr="004F7EF0">
        <w:t>Betriebsanleitungen</w:t>
      </w:r>
      <w:r>
        <w:t>.</w:t>
      </w:r>
    </w:p>
    <w:p w:rsidR="006B4C44" w:rsidRDefault="006B4C44" w:rsidP="006B6AC4"/>
    <w:p w:rsidR="006B4C44" w:rsidRDefault="006B4C44" w:rsidP="004F7EF0">
      <w:pPr>
        <w:spacing w:after="120"/>
        <w:rPr>
          <w:rFonts w:ascii="Arial" w:hAnsi="Arial" w:cs="Arial"/>
          <w:b/>
        </w:rPr>
      </w:pPr>
      <w:r w:rsidRPr="006B4C44">
        <w:rPr>
          <w:rFonts w:ascii="Arial" w:hAnsi="Arial" w:cs="Arial"/>
          <w:b/>
        </w:rPr>
        <w:t>Erprobung</w:t>
      </w:r>
    </w:p>
    <w:p w:rsidR="006B4C44" w:rsidRPr="006B4C44" w:rsidRDefault="006B4C44" w:rsidP="006B4C44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6B4C44">
        <w:t xml:space="preserve">Die Erprobung umfasst im Wesentlichen die Funktionsprüfung der Installationsschaltung. </w:t>
      </w:r>
    </w:p>
    <w:p w:rsidR="006B4C44" w:rsidRPr="006B4C44" w:rsidRDefault="006B4C44" w:rsidP="006B4C44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6B4C44">
        <w:t xml:space="preserve">Bei Vorhandensein eines RCD-Schalters muss dessen </w:t>
      </w:r>
      <w:r w:rsidR="00682CD1" w:rsidRPr="006B4C44">
        <w:t>ordnungsgemäße</w:t>
      </w:r>
      <w:r w:rsidRPr="006B4C44">
        <w:t xml:space="preserve"> Auslösung durch Betätigung der Prüftaste überprüft werden.</w:t>
      </w:r>
    </w:p>
    <w:p w:rsidR="00141A81" w:rsidRDefault="00141A81" w:rsidP="00F050E7">
      <w:pPr>
        <w:spacing w:before="60" w:after="120"/>
        <w:rPr>
          <w:rFonts w:ascii="Arial" w:hAnsi="Arial" w:cs="Arial"/>
          <w:b/>
        </w:rPr>
      </w:pPr>
    </w:p>
    <w:p w:rsidR="00141A81" w:rsidRDefault="00141A81">
      <w:pPr>
        <w:overflowPunct/>
        <w:autoSpaceDE/>
        <w:autoSpaceDN/>
        <w:adjustRightInd/>
        <w:spacing w:line="240" w:lineRule="auto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41A81" w:rsidRDefault="00141A81" w:rsidP="00F050E7">
      <w:pPr>
        <w:spacing w:before="60" w:after="120"/>
        <w:rPr>
          <w:rFonts w:ascii="Arial" w:hAnsi="Arial" w:cs="Arial"/>
          <w:b/>
        </w:rPr>
      </w:pPr>
    </w:p>
    <w:p w:rsidR="00BD114E" w:rsidRPr="009C72DB" w:rsidRDefault="00BD114E" w:rsidP="00F050E7">
      <w:pPr>
        <w:spacing w:before="60" w:after="120"/>
        <w:rPr>
          <w:rFonts w:ascii="Arial" w:hAnsi="Arial" w:cs="Arial"/>
          <w:b/>
          <w:sz w:val="28"/>
          <w:szCs w:val="28"/>
        </w:rPr>
      </w:pPr>
      <w:r w:rsidRPr="009C72DB">
        <w:rPr>
          <w:rFonts w:ascii="Arial" w:hAnsi="Arial" w:cs="Arial"/>
          <w:b/>
          <w:sz w:val="28"/>
          <w:szCs w:val="28"/>
        </w:rPr>
        <w:t>Auftrag</w:t>
      </w:r>
    </w:p>
    <w:p w:rsidR="00BD114E" w:rsidRPr="008D57AD" w:rsidRDefault="00BD114E" w:rsidP="00FA71B8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 w:rsidRPr="008D57AD">
        <w:rPr>
          <w:sz w:val="24"/>
          <w:szCs w:val="24"/>
        </w:rPr>
        <w:t>Füh</w:t>
      </w:r>
      <w:r w:rsidR="009C72DB" w:rsidRPr="008D57AD">
        <w:rPr>
          <w:sz w:val="24"/>
          <w:szCs w:val="24"/>
        </w:rPr>
        <w:t>rt</w:t>
      </w:r>
      <w:r w:rsidRPr="008D57AD">
        <w:rPr>
          <w:sz w:val="24"/>
          <w:szCs w:val="24"/>
        </w:rPr>
        <w:t xml:space="preserve"> eine Besichtigung und Funktionsprüfung </w:t>
      </w:r>
      <w:r w:rsidR="009C72DB" w:rsidRPr="008D57AD">
        <w:rPr>
          <w:sz w:val="24"/>
          <w:szCs w:val="24"/>
        </w:rPr>
        <w:t>eurer installierten Anlage durch.</w:t>
      </w:r>
      <w:r w:rsidR="00CF5531" w:rsidRPr="008D57AD">
        <w:rPr>
          <w:sz w:val="24"/>
          <w:szCs w:val="24"/>
        </w:rPr>
        <w:t xml:space="preserve"> </w:t>
      </w:r>
    </w:p>
    <w:p w:rsidR="00CF5531" w:rsidRPr="008D57AD" w:rsidRDefault="00CF5531" w:rsidP="00FA71B8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 w:rsidRPr="008D57AD">
        <w:rPr>
          <w:sz w:val="24"/>
          <w:szCs w:val="24"/>
        </w:rPr>
        <w:t xml:space="preserve">Protokolliert eure Ergebnisse </w:t>
      </w:r>
      <w:r w:rsidR="00FA71B8" w:rsidRPr="008D57AD">
        <w:rPr>
          <w:sz w:val="24"/>
          <w:szCs w:val="24"/>
        </w:rPr>
        <w:t xml:space="preserve">in einem </w:t>
      </w:r>
      <w:r w:rsidR="00682CD1" w:rsidRPr="008D57AD">
        <w:rPr>
          <w:sz w:val="24"/>
          <w:szCs w:val="24"/>
        </w:rPr>
        <w:t>entsprechenden</w:t>
      </w:r>
      <w:r w:rsidR="00FA71B8" w:rsidRPr="008D57AD">
        <w:rPr>
          <w:sz w:val="24"/>
          <w:szCs w:val="24"/>
        </w:rPr>
        <w:t xml:space="preserve"> </w:t>
      </w:r>
      <w:r w:rsidR="00682CD1" w:rsidRPr="008D57AD">
        <w:rPr>
          <w:sz w:val="24"/>
          <w:szCs w:val="24"/>
        </w:rPr>
        <w:t>Prüfprot</w:t>
      </w:r>
      <w:r w:rsidR="00682CD1">
        <w:rPr>
          <w:sz w:val="24"/>
          <w:szCs w:val="24"/>
        </w:rPr>
        <w:t>o</w:t>
      </w:r>
      <w:r w:rsidR="00682CD1" w:rsidRPr="008D57AD">
        <w:rPr>
          <w:sz w:val="24"/>
          <w:szCs w:val="24"/>
        </w:rPr>
        <w:t>koll</w:t>
      </w:r>
      <w:r w:rsidR="00FA71B8" w:rsidRPr="008D57AD">
        <w:rPr>
          <w:sz w:val="24"/>
          <w:szCs w:val="24"/>
        </w:rPr>
        <w:t>.</w:t>
      </w:r>
    </w:p>
    <w:p w:rsidR="00FA71B8" w:rsidRDefault="00FA71B8" w:rsidP="00F050E7">
      <w:pPr>
        <w:spacing w:before="60" w:after="120"/>
        <w:rPr>
          <w:rFonts w:ascii="Arial" w:hAnsi="Arial" w:cs="Arial"/>
        </w:rPr>
      </w:pPr>
    </w:p>
    <w:p w:rsidR="00927B1F" w:rsidRPr="000A3CC8" w:rsidRDefault="00FA71B8" w:rsidP="00F050E7">
      <w:pPr>
        <w:spacing w:before="60" w:after="120"/>
        <w:rPr>
          <w:rFonts w:ascii="Arial" w:hAnsi="Arial" w:cs="Arial"/>
          <w:b/>
          <w:i/>
          <w:sz w:val="24"/>
          <w:szCs w:val="24"/>
        </w:rPr>
      </w:pPr>
      <w:r w:rsidRPr="000A3CC8">
        <w:rPr>
          <w:rFonts w:ascii="Arial" w:hAnsi="Arial" w:cs="Arial"/>
          <w:b/>
          <w:i/>
          <w:sz w:val="24"/>
          <w:szCs w:val="24"/>
        </w:rPr>
        <w:t xml:space="preserve">Hinweis: </w:t>
      </w:r>
    </w:p>
    <w:p w:rsidR="00BD114E" w:rsidRPr="00927B1F" w:rsidRDefault="00A70994" w:rsidP="00F050E7">
      <w:pPr>
        <w:spacing w:before="60" w:after="120"/>
        <w:rPr>
          <w:rFonts w:ascii="Arial" w:hAnsi="Arial" w:cs="Arial"/>
        </w:rPr>
      </w:pPr>
      <w:r w:rsidRPr="00927B1F">
        <w:rPr>
          <w:rFonts w:ascii="Arial" w:hAnsi="Arial" w:cs="Arial"/>
          <w:i/>
        </w:rPr>
        <w:t>Ein Prüfprotokoll, das freundlicherweise von der Firma WEKA MEDIA GmbH &amp; Co. KG zur Verfügung gestellt wurde, befindet sich im Dokument „</w:t>
      </w:r>
      <w:r w:rsidR="00106B66">
        <w:rPr>
          <w:rFonts w:ascii="Arial" w:hAnsi="Arial" w:cs="Arial"/>
          <w:i/>
        </w:rPr>
        <w:t>29</w:t>
      </w:r>
      <w:r w:rsidRPr="00927B1F">
        <w:rPr>
          <w:rFonts w:ascii="Arial" w:hAnsi="Arial" w:cs="Arial"/>
          <w:i/>
        </w:rPr>
        <w:t xml:space="preserve"> AB Checkliste Prüfprotokoll nach VDE 0100-600“.</w:t>
      </w:r>
    </w:p>
    <w:p w:rsidR="000A3CC8" w:rsidRPr="00D25CB0" w:rsidRDefault="000A3CC8" w:rsidP="000A3CC8">
      <w:pPr>
        <w:rPr>
          <w:rFonts w:ascii="Calibri" w:hAnsi="Calibri"/>
          <w:color w:val="1F497D"/>
        </w:rPr>
      </w:pPr>
      <w:r>
        <w:t xml:space="preserve">Quelle: </w:t>
      </w:r>
      <w:hyperlink r:id="rId10" w:history="1">
        <w:r>
          <w:rPr>
            <w:rStyle w:val="Hyperlink"/>
          </w:rPr>
          <w:t>http://shop.weka.de/praxischeck-elektro?searchTerm=cd3024&amp;searchOrder=RELEVANZ</w:t>
        </w:r>
      </w:hyperlink>
    </w:p>
    <w:p w:rsidR="00FA71B8" w:rsidRDefault="00FA71B8" w:rsidP="00F050E7">
      <w:pPr>
        <w:spacing w:before="60" w:after="120"/>
        <w:rPr>
          <w:rFonts w:ascii="Arial" w:hAnsi="Arial" w:cs="Arial"/>
          <w:b/>
        </w:rPr>
      </w:pPr>
    </w:p>
    <w:p w:rsidR="00A70994" w:rsidRDefault="00A70994" w:rsidP="00F050E7">
      <w:pPr>
        <w:spacing w:before="60" w:after="120"/>
        <w:rPr>
          <w:rFonts w:ascii="Arial" w:hAnsi="Arial" w:cs="Arial"/>
          <w:b/>
        </w:rPr>
      </w:pPr>
    </w:p>
    <w:p w:rsidR="00A70994" w:rsidRDefault="00A70994" w:rsidP="00F050E7">
      <w:pPr>
        <w:spacing w:before="60" w:after="120"/>
        <w:rPr>
          <w:rFonts w:ascii="Arial" w:hAnsi="Arial" w:cs="Arial"/>
          <w:b/>
        </w:rPr>
      </w:pPr>
    </w:p>
    <w:p w:rsidR="00C362D9" w:rsidRDefault="00A06D1B" w:rsidP="00F050E7">
      <w:pPr>
        <w:spacing w:before="60" w:after="120"/>
        <w:rPr>
          <w:rFonts w:ascii="Arial" w:hAnsi="Arial" w:cs="Arial"/>
          <w:b/>
        </w:rPr>
      </w:pPr>
      <w:r w:rsidRPr="00F050E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B3410" wp14:editId="56791E8E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FB59D7" w:rsidP="00A06D1B">
                            <w:pPr>
                              <w:jc w:val="center"/>
                              <w:rPr>
                                <w:rFonts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2B341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" fillcolor="#c6d9f1 [671]" strokeweight=".5pt">
                <v:textbox>
                  <w:txbxContent>
                    <w:p w:rsidR="00A06D1B" w:rsidRPr="0016223F" w:rsidRDefault="00FB59D7" w:rsidP="00A06D1B">
                      <w:pPr>
                        <w:jc w:val="center"/>
                        <w:rPr>
                          <w:rFonts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050E7" w:rsidRPr="00F050E7">
        <w:rPr>
          <w:rFonts w:ascii="Arial" w:hAnsi="Arial" w:cs="Arial"/>
          <w:b/>
        </w:rPr>
        <w:t>Messen</w:t>
      </w:r>
    </w:p>
    <w:p w:rsidR="00F050E7" w:rsidRDefault="00BA1227" w:rsidP="00F050E7">
      <w:pPr>
        <w:spacing w:before="60" w:after="120"/>
        <w:rPr>
          <w:rFonts w:ascii="Arial" w:hAnsi="Arial" w:cs="Arial"/>
        </w:rPr>
      </w:pPr>
      <w:r>
        <w:rPr>
          <w:rFonts w:ascii="Arial" w:hAnsi="Arial" w:cs="Arial"/>
        </w:rPr>
        <w:t>Zu den wichtigsten Messungen gehören:</w:t>
      </w:r>
    </w:p>
    <w:p w:rsidR="00BA1227" w:rsidRPr="00BD114E" w:rsidRDefault="00BD114E" w:rsidP="00BD114E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BD114E">
        <w:t>die</w:t>
      </w:r>
      <w:r w:rsidR="00BA1227" w:rsidRPr="00BD114E">
        <w:t xml:space="preserve"> Messung des</w:t>
      </w:r>
      <w:r w:rsidRPr="00BD114E">
        <w:t xml:space="preserve"> Isolationswiderstandes</w:t>
      </w:r>
      <w:r w:rsidR="00682CD1">
        <w:t>,</w:t>
      </w:r>
    </w:p>
    <w:p w:rsidR="00BD114E" w:rsidRPr="00BD114E" w:rsidRDefault="00BD114E" w:rsidP="00BD114E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BD114E">
        <w:t>die Messung der</w:t>
      </w:r>
      <w:r w:rsidR="00682CD1">
        <w:t xml:space="preserve"> Schleifenimpedanz (Schleifenwi</w:t>
      </w:r>
      <w:bookmarkStart w:id="1" w:name="_GoBack"/>
      <w:bookmarkEnd w:id="1"/>
      <w:r w:rsidRPr="00BD114E">
        <w:t>derstandes)</w:t>
      </w:r>
      <w:r w:rsidR="00682CD1">
        <w:t>,</w:t>
      </w:r>
    </w:p>
    <w:p w:rsidR="00BD114E" w:rsidRDefault="00BD114E" w:rsidP="00BD114E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 w:rsidRPr="00BD114E">
        <w:t xml:space="preserve">bei Vorhandensein eines RCD-Schutzschalters die Überprüfung der ordnungsgemäßen Auslösefunktion. </w:t>
      </w:r>
    </w:p>
    <w:p w:rsidR="00CF5531" w:rsidRDefault="00CF5531" w:rsidP="00CF5531">
      <w:pPr>
        <w:pStyle w:val="Listenabsatz"/>
        <w:spacing w:after="120"/>
        <w:ind w:left="714"/>
        <w:contextualSpacing w:val="0"/>
      </w:pPr>
    </w:p>
    <w:p w:rsidR="00CF5531" w:rsidRPr="00CF5531" w:rsidRDefault="00682CD1" w:rsidP="00CF5531">
      <w:pPr>
        <w:rPr>
          <w:i/>
        </w:rPr>
      </w:pPr>
      <w:r w:rsidRPr="00CF5531">
        <w:rPr>
          <w:i/>
        </w:rPr>
        <w:t>Hinweis</w:t>
      </w:r>
      <w:r w:rsidR="00CF5531" w:rsidRPr="00CF5531">
        <w:rPr>
          <w:i/>
        </w:rPr>
        <w:t>: Die theoretischen Grundlagen der Isolationswiderstands- und Schleifenimpedanzmessung werden erst zu einem späteren Zeitpunkt behandelt. Aus diesem Grunde werden diese Messungen hier nicht durchgeführt.</w:t>
      </w:r>
    </w:p>
    <w:sectPr w:rsidR="00CF5531" w:rsidRPr="00CF5531" w:rsidSect="00504FF9">
      <w:headerReference w:type="default" r:id="rId11"/>
      <w:footerReference w:type="default" r:id="rId12"/>
      <w:pgSz w:w="11907" w:h="16839" w:code="9"/>
      <w:pgMar w:top="454" w:right="708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3C4" w:rsidRDefault="00BB63C4">
      <w:r>
        <w:separator/>
      </w:r>
    </w:p>
  </w:endnote>
  <w:endnote w:type="continuationSeparator" w:id="0">
    <w:p w:rsidR="00BB63C4" w:rsidRDefault="00BB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3C4" w:rsidRDefault="00BB63C4">
      <w:r>
        <w:separator/>
      </w:r>
    </w:p>
  </w:footnote>
  <w:footnote w:type="continuationSeparator" w:id="0">
    <w:p w:rsidR="00BB63C4" w:rsidRDefault="00BB6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FB59D7" w:rsidP="00FA71B8">
          <w:pPr>
            <w:spacing w:before="120"/>
          </w:pPr>
          <w:r w:rsidRPr="00FB59D7">
            <w:t xml:space="preserve">Inbetriebnahme der Anlage 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</w:pPr>
          <w: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</w:pPr>
          <w: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24D97"/>
    <w:multiLevelType w:val="hybridMultilevel"/>
    <w:tmpl w:val="9C96C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E1589"/>
    <w:multiLevelType w:val="hybridMultilevel"/>
    <w:tmpl w:val="9920C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D7"/>
    <w:rsid w:val="00053D40"/>
    <w:rsid w:val="000972AF"/>
    <w:rsid w:val="000A3CC8"/>
    <w:rsid w:val="000D3796"/>
    <w:rsid w:val="00106B66"/>
    <w:rsid w:val="00115923"/>
    <w:rsid w:val="00141A81"/>
    <w:rsid w:val="001D01C3"/>
    <w:rsid w:val="001D329B"/>
    <w:rsid w:val="0021152A"/>
    <w:rsid w:val="00243FDA"/>
    <w:rsid w:val="002C696A"/>
    <w:rsid w:val="002E6130"/>
    <w:rsid w:val="00300225"/>
    <w:rsid w:val="0036587B"/>
    <w:rsid w:val="0039780F"/>
    <w:rsid w:val="003A58DD"/>
    <w:rsid w:val="003C1D35"/>
    <w:rsid w:val="004170E6"/>
    <w:rsid w:val="004D2DC7"/>
    <w:rsid w:val="004F7EF0"/>
    <w:rsid w:val="00504FF9"/>
    <w:rsid w:val="00574C3B"/>
    <w:rsid w:val="005E6E90"/>
    <w:rsid w:val="006226BF"/>
    <w:rsid w:val="00671AAE"/>
    <w:rsid w:val="00682CD1"/>
    <w:rsid w:val="006B4C44"/>
    <w:rsid w:val="006B608E"/>
    <w:rsid w:val="006B6AC4"/>
    <w:rsid w:val="008401E6"/>
    <w:rsid w:val="0089689D"/>
    <w:rsid w:val="008B0265"/>
    <w:rsid w:val="008D57AD"/>
    <w:rsid w:val="00907757"/>
    <w:rsid w:val="00915C63"/>
    <w:rsid w:val="00927B1F"/>
    <w:rsid w:val="00941DB8"/>
    <w:rsid w:val="00947962"/>
    <w:rsid w:val="009500ED"/>
    <w:rsid w:val="009C72DB"/>
    <w:rsid w:val="00A06D1B"/>
    <w:rsid w:val="00A70994"/>
    <w:rsid w:val="00AA7190"/>
    <w:rsid w:val="00AC3F74"/>
    <w:rsid w:val="00AD035A"/>
    <w:rsid w:val="00AD5ABF"/>
    <w:rsid w:val="00B04B9B"/>
    <w:rsid w:val="00B30800"/>
    <w:rsid w:val="00BA1227"/>
    <w:rsid w:val="00BB63C4"/>
    <w:rsid w:val="00BD114E"/>
    <w:rsid w:val="00C22282"/>
    <w:rsid w:val="00C2614D"/>
    <w:rsid w:val="00C362D9"/>
    <w:rsid w:val="00CE2B05"/>
    <w:rsid w:val="00CF5531"/>
    <w:rsid w:val="00D15BEF"/>
    <w:rsid w:val="00DD5449"/>
    <w:rsid w:val="00DF14B7"/>
    <w:rsid w:val="00E04777"/>
    <w:rsid w:val="00E3400A"/>
    <w:rsid w:val="00E837CD"/>
    <w:rsid w:val="00EA070D"/>
    <w:rsid w:val="00ED1BF7"/>
    <w:rsid w:val="00F050E7"/>
    <w:rsid w:val="00F1286D"/>
    <w:rsid w:val="00FA71B8"/>
    <w:rsid w:val="00FB1BAE"/>
    <w:rsid w:val="00FB59D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4FF9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Tahoma" w:hAnsi="Tahom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04FF9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F1286D"/>
  </w:style>
  <w:style w:type="character" w:styleId="Hyperlink">
    <w:name w:val="Hyperlink"/>
    <w:basedOn w:val="Absatz-Standardschriftart"/>
    <w:uiPriority w:val="99"/>
    <w:semiHidden/>
    <w:unhideWhenUsed/>
    <w:rsid w:val="00F128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4FF9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Tahoma" w:hAnsi="Tahom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04FF9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F1286D"/>
  </w:style>
  <w:style w:type="character" w:styleId="Hyperlink">
    <w:name w:val="Hyperlink"/>
    <w:basedOn w:val="Absatz-Standardschriftart"/>
    <w:uiPriority w:val="99"/>
    <w:semiHidden/>
    <w:unhideWhenUsed/>
    <w:rsid w:val="00F128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hop.weka.de/praxischeck-elektro?searchTerm=cd3024&amp;searchOrder=RELEVAN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.wikipedia.org/wiki/Verband_der_Elektrotechnik,_Elektronik_und_Informationstechni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2014-05-28T07:41:00Z</cp:lastPrinted>
  <dcterms:created xsi:type="dcterms:W3CDTF">2014-08-18T10:42:00Z</dcterms:created>
  <dcterms:modified xsi:type="dcterms:W3CDTF">2014-08-18T10:42:00Z</dcterms:modified>
</cp:coreProperties>
</file>