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B629E7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Making Arrangements 5. + 6. Stunde</w:t>
      </w: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B629E7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Hörverstehen S. 76</w:t>
      </w: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B629E7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zur </w:t>
      </w:r>
      <w:r w:rsidR="00FF77F3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Deckung des Förderbedarfs</w:t>
      </w:r>
      <w:bookmarkStart w:id="0" w:name="_GoBack"/>
      <w:bookmarkEnd w:id="0"/>
      <w:r w:rsidRPr="00B629E7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und zur Durchführung:</w:t>
      </w: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Differenzierung nach Lernniveau 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</w:pP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  <w:t>Pre-listening activity</w:t>
      </w:r>
      <w:r w:rsidRPr="00B629E7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in Einzelarbeit: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B629E7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S. 239, 6A3</w:t>
      </w:r>
      <w:r w:rsidRPr="00B629E7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br/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S machen sich in aller Kürze mit neuem Wortschatz vertraut (5 Vokabeln!), während Lehrkraft Hörverstehen vorbereitet.      </w:t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  <w:t>While-listening activity (Think):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- lower intermediate:</w:t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 bearbeiten auf AB </w:t>
      </w:r>
      <w:r w:rsidRPr="00B629E7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true/false-statements</w:t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  <w:t xml:space="preserve">  (Hinweis: alle </w:t>
      </w:r>
      <w:r w:rsidRPr="00B629E7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statements</w:t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beantworten in korrigierter Form die Fragen auf S. 76)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- intermediate:</w:t>
      </w:r>
      <w:r w:rsidRPr="00B629E7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>S beantworten Fragen auf S. 76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- advanced:</w:t>
      </w:r>
      <w:r w:rsidRPr="00B629E7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>S notieren ohne Zuhilfenahme des Buches alle Fakten des Dialogs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Ergebnissicherung nach zweimaligem Hören </w:t>
      </w:r>
      <w:r w:rsidRPr="00B629E7"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  <w:t>(Pair-Share)</w:t>
      </w:r>
      <w:r w:rsidRPr="00B629E7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: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a) </w:t>
      </w:r>
      <w:r w:rsidRPr="00B629E7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peer correction / </w:t>
      </w: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>Abgleich mit Nachbarn</w:t>
      </w:r>
    </w:p>
    <w:p w:rsidR="00B629E7" w:rsidRPr="00B629E7" w:rsidRDefault="00B629E7" w:rsidP="00B629E7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B629E7">
        <w:rPr>
          <w:rFonts w:asciiTheme="minorHAnsi" w:eastAsiaTheme="minorHAnsi" w:hAnsiTheme="minorHAnsi" w:cstheme="minorBidi"/>
          <w:sz w:val="24"/>
          <w:szCs w:val="24"/>
          <w:lang w:eastAsia="en-US"/>
        </w:rPr>
        <w:t>b) Besprechung der Fragen im Buch auf S. 76 im Plenum (Lösung s. LHB)</w:t>
      </w:r>
    </w:p>
    <w:p w:rsidR="00B629E7" w:rsidRDefault="00B629E7" w:rsidP="00AA7190">
      <w:pPr>
        <w:spacing w:before="120"/>
        <w:rPr>
          <w:sz w:val="22"/>
        </w:rPr>
        <w:sectPr w:rsidR="00B629E7" w:rsidSect="00CE2B05">
          <w:headerReference w:type="default" r:id="rId7"/>
          <w:footerReference w:type="default" r:id="rId8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B629E7" w:rsidRPr="00B629E7" w:rsidRDefault="00B629E7" w:rsidP="00B629E7">
      <w:pPr>
        <w:tabs>
          <w:tab w:val="left" w:pos="7230"/>
        </w:tabs>
        <w:overflowPunct/>
        <w:autoSpaceDE/>
        <w:autoSpaceDN/>
        <w:adjustRightInd/>
        <w:jc w:val="center"/>
        <w:textAlignment w:val="auto"/>
        <w:rPr>
          <w:rFonts w:asciiTheme="minorHAnsi" w:hAnsiTheme="minorHAnsi" w:cs="Arial"/>
          <w:b/>
          <w:sz w:val="32"/>
          <w:szCs w:val="32"/>
          <w:lang w:val="en-GB"/>
        </w:rPr>
      </w:pPr>
      <w:r w:rsidRPr="00B629E7">
        <w:rPr>
          <w:rFonts w:asciiTheme="minorHAnsi" w:hAnsiTheme="minorHAnsi" w:cs="Arial"/>
          <w:b/>
          <w:sz w:val="32"/>
          <w:szCs w:val="32"/>
          <w:lang w:val="en-GB"/>
        </w:rPr>
        <w:lastRenderedPageBreak/>
        <w:t>Hotel accommodation</w:t>
      </w: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hAnsiTheme="minorHAnsi" w:cs="Arial"/>
          <w:b/>
          <w:sz w:val="26"/>
          <w:szCs w:val="26"/>
          <w:lang w:val="en-GB"/>
        </w:rPr>
      </w:pPr>
      <w:r w:rsidRPr="00B629E7">
        <w:rPr>
          <w:rFonts w:asciiTheme="minorHAnsi" w:eastAsiaTheme="minorHAnsi" w:hAnsiTheme="minorHAnsi" w:cstheme="minorBidi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2B20B5D" wp14:editId="236AB213">
            <wp:simplePos x="0" y="0"/>
            <wp:positionH relativeFrom="column">
              <wp:posOffset>5579110</wp:posOffset>
            </wp:positionH>
            <wp:positionV relativeFrom="paragraph">
              <wp:posOffset>58420</wp:posOffset>
            </wp:positionV>
            <wp:extent cx="680720" cy="676275"/>
            <wp:effectExtent l="0" t="0" r="5080" b="9525"/>
            <wp:wrapTight wrapText="bothSides">
              <wp:wrapPolygon edited="0">
                <wp:start x="0" y="0"/>
                <wp:lineTo x="0" y="21296"/>
                <wp:lineTo x="21157" y="21296"/>
                <wp:lineTo x="21157" y="0"/>
                <wp:lineTo x="0" y="0"/>
              </wp:wrapPolygon>
            </wp:wrapTight>
            <wp:docPr id="1" name="Bild 1" descr="http://pixabay.com/go/?t=/static/uploads/photo/2012/04/24/16/19/sign-40308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abay.com/go/?t=/static/uploads/photo/2012/04/24/16/19/sign-40308_15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9E7" w:rsidRPr="00B629E7" w:rsidRDefault="00B629E7" w:rsidP="00B629E7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6"/>
          <w:szCs w:val="26"/>
          <w:lang w:val="en-GB"/>
        </w:rPr>
      </w:pPr>
      <w:r w:rsidRPr="00B629E7">
        <w:rPr>
          <w:rFonts w:asciiTheme="minorHAnsi" w:hAnsiTheme="minorHAnsi"/>
          <w:sz w:val="26"/>
          <w:szCs w:val="26"/>
          <w:lang w:val="en-GB"/>
        </w:rPr>
        <w:t xml:space="preserve">Melanie Schmiedel rings the Hotel Granada in Madrid to make arrangements. </w:t>
      </w:r>
    </w:p>
    <w:p w:rsidR="00B629E7" w:rsidRPr="00B629E7" w:rsidRDefault="00B629E7" w:rsidP="00B629E7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6"/>
          <w:szCs w:val="26"/>
          <w:lang w:val="en-GB"/>
        </w:rPr>
      </w:pPr>
      <w:r w:rsidRPr="00B629E7">
        <w:rPr>
          <w:rFonts w:asciiTheme="minorHAnsi" w:hAnsiTheme="minorHAnsi"/>
          <w:sz w:val="26"/>
          <w:szCs w:val="26"/>
          <w:lang w:val="en-GB"/>
        </w:rPr>
        <w:t>Listen and decide whether the statements given below are right or wrong.</w:t>
      </w:r>
    </w:p>
    <w:p w:rsidR="00B629E7" w:rsidRPr="00B629E7" w:rsidRDefault="00B629E7" w:rsidP="00B629E7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6"/>
          <w:szCs w:val="26"/>
          <w:lang w:val="en-GB"/>
        </w:rPr>
      </w:pPr>
      <w:r w:rsidRPr="00B629E7">
        <w:rPr>
          <w:rFonts w:asciiTheme="minorHAnsi" w:hAnsiTheme="minorHAnsi"/>
          <w:sz w:val="26"/>
          <w:szCs w:val="26"/>
          <w:lang w:val="en-GB"/>
        </w:rPr>
        <w:t>Correct the wrong statements</w:t>
      </w:r>
      <w:r>
        <w:rPr>
          <w:rFonts w:asciiTheme="minorHAnsi" w:hAnsiTheme="minorHAnsi"/>
          <w:sz w:val="26"/>
          <w:szCs w:val="26"/>
          <w:lang w:val="en-GB"/>
        </w:rPr>
        <w:t xml:space="preserve"> below the given text</w:t>
      </w:r>
      <w:r w:rsidRPr="00B629E7">
        <w:rPr>
          <w:rFonts w:asciiTheme="minorHAnsi" w:hAnsiTheme="minorHAnsi"/>
          <w:sz w:val="26"/>
          <w:szCs w:val="26"/>
          <w:lang w:val="en-GB"/>
        </w:rPr>
        <w:t>.</w:t>
      </w:r>
    </w:p>
    <w:p w:rsidR="00B629E7" w:rsidRPr="00B629E7" w:rsidRDefault="00B629E7" w:rsidP="00B629E7">
      <w:pPr>
        <w:overflowPunct/>
        <w:autoSpaceDE/>
        <w:autoSpaceDN/>
        <w:adjustRightInd/>
        <w:textAlignment w:val="auto"/>
        <w:rPr>
          <w:rFonts w:asciiTheme="minorHAnsi" w:hAnsiTheme="minorHAnsi"/>
          <w:sz w:val="26"/>
          <w:szCs w:val="26"/>
          <w:lang w:val="en-GB"/>
        </w:rPr>
      </w:pPr>
    </w:p>
    <w:tbl>
      <w:tblPr>
        <w:tblW w:w="101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785"/>
        <w:gridCol w:w="900"/>
        <w:gridCol w:w="900"/>
      </w:tblGrid>
      <w:tr w:rsidR="00B629E7" w:rsidRPr="00B629E7" w:rsidTr="00B629E7">
        <w:trPr>
          <w:trHeight w:val="1247"/>
        </w:trPr>
        <w:tc>
          <w:tcPr>
            <w:tcW w:w="540" w:type="dxa"/>
            <w:shd w:val="clear" w:color="auto" w:fill="B3B3B3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40"/>
              <w:jc w:val="right"/>
              <w:textAlignment w:val="auto"/>
              <w:rPr>
                <w:rFonts w:asciiTheme="minorHAnsi" w:hAnsiTheme="minorHAnsi" w:cs="Arial"/>
                <w:b/>
                <w:bCs/>
                <w:sz w:val="26"/>
                <w:szCs w:val="26"/>
              </w:rPr>
            </w:pPr>
            <w:r w:rsidRPr="00B629E7">
              <w:rPr>
                <w:rFonts w:asciiTheme="minorHAnsi" w:hAnsiTheme="minorHAnsi" w:cs="Arial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7785" w:type="dxa"/>
            <w:shd w:val="clear" w:color="auto" w:fill="B3B3B3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Theme="minorHAnsi" w:hAnsiTheme="minorHAnsi" w:cs="Arial"/>
                <w:b/>
                <w:bCs/>
                <w:sz w:val="26"/>
                <w:szCs w:val="26"/>
              </w:rPr>
            </w:pPr>
            <w:r w:rsidRPr="00B629E7">
              <w:rPr>
                <w:rFonts w:asciiTheme="minorHAnsi" w:hAnsiTheme="minorHAnsi" w:cs="Arial"/>
                <w:b/>
                <w:bCs/>
                <w:sz w:val="26"/>
                <w:szCs w:val="26"/>
              </w:rPr>
              <w:t>Statement</w:t>
            </w:r>
          </w:p>
        </w:tc>
        <w:tc>
          <w:tcPr>
            <w:tcW w:w="900" w:type="dxa"/>
            <w:shd w:val="clear" w:color="auto" w:fill="B3B3B3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Theme="minorHAnsi" w:hAnsiTheme="minorHAnsi" w:cs="Arial"/>
                <w:b/>
                <w:bCs/>
                <w:sz w:val="26"/>
                <w:szCs w:val="26"/>
              </w:rPr>
            </w:pPr>
            <w:r w:rsidRPr="00B629E7">
              <w:rPr>
                <w:rFonts w:asciiTheme="minorHAnsi" w:hAnsiTheme="minorHAnsi" w:cs="Arial"/>
                <w:b/>
                <w:bCs/>
                <w:sz w:val="26"/>
                <w:szCs w:val="26"/>
              </w:rPr>
              <w:t>true</w:t>
            </w:r>
          </w:p>
        </w:tc>
        <w:tc>
          <w:tcPr>
            <w:tcW w:w="900" w:type="dxa"/>
            <w:shd w:val="clear" w:color="auto" w:fill="B3B3B3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Theme="minorHAnsi" w:hAnsiTheme="minorHAnsi" w:cs="Arial"/>
                <w:b/>
                <w:bCs/>
                <w:sz w:val="26"/>
                <w:szCs w:val="26"/>
              </w:rPr>
            </w:pPr>
            <w:r w:rsidRPr="00B629E7">
              <w:rPr>
                <w:rFonts w:asciiTheme="minorHAnsi" w:hAnsiTheme="minorHAnsi" w:cs="Arial"/>
                <w:b/>
                <w:bCs/>
                <w:sz w:val="26"/>
                <w:szCs w:val="26"/>
              </w:rPr>
              <w:t>false</w:t>
            </w: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1</w:t>
            </w:r>
          </w:p>
        </w:tc>
        <w:tc>
          <w:tcPr>
            <w:tcW w:w="7785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She wants to book six double rooms.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2</w:t>
            </w:r>
          </w:p>
        </w:tc>
        <w:tc>
          <w:tcPr>
            <w:tcW w:w="7785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She is offered six double rooms on the second floor with a view of the Prado.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3</w:t>
            </w:r>
          </w:p>
        </w:tc>
        <w:tc>
          <w:tcPr>
            <w:tcW w:w="7785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There are three German, two Canadian and two Irish secretaries.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4</w:t>
            </w:r>
          </w:p>
        </w:tc>
        <w:tc>
          <w:tcPr>
            <w:tcW w:w="7785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They will receive dinner automatically.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5</w:t>
            </w:r>
          </w:p>
        </w:tc>
        <w:tc>
          <w:tcPr>
            <w:tcW w:w="7785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They can have lunch at the hotel or the hotel can recommend restaurants.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6</w:t>
            </w:r>
          </w:p>
        </w:tc>
        <w:tc>
          <w:tcPr>
            <w:tcW w:w="7785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Kirsty requires special arrangements as she is a vegan.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7</w:t>
            </w:r>
          </w:p>
        </w:tc>
        <w:tc>
          <w:tcPr>
            <w:tcW w:w="7785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The hotel has a shuttle service to the airport.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</w:tr>
      <w:tr w:rsidR="00B629E7" w:rsidRPr="00FF77F3" w:rsidTr="00B629E7">
        <w:trPr>
          <w:trHeight w:val="1247"/>
        </w:trPr>
        <w:tc>
          <w:tcPr>
            <w:tcW w:w="54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right"/>
              <w:textAlignment w:val="auto"/>
              <w:rPr>
                <w:rFonts w:asciiTheme="minorHAnsi" w:hAnsiTheme="minorHAnsi"/>
                <w:sz w:val="26"/>
                <w:szCs w:val="26"/>
              </w:rPr>
            </w:pPr>
            <w:r w:rsidRPr="00B629E7">
              <w:rPr>
                <w:rFonts w:asciiTheme="minorHAnsi" w:hAnsiTheme="minorHAnsi"/>
                <w:sz w:val="26"/>
                <w:szCs w:val="26"/>
              </w:rPr>
              <w:t>8</w:t>
            </w:r>
          </w:p>
        </w:tc>
        <w:tc>
          <w:tcPr>
            <w:tcW w:w="7785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textAlignment w:val="auto"/>
              <w:rPr>
                <w:rFonts w:asciiTheme="minorHAnsi" w:hAnsiTheme="minorHAnsi"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sz w:val="26"/>
                <w:szCs w:val="26"/>
                <w:lang w:val="en-US"/>
              </w:rPr>
              <w:t>It’s worth hiring a car and there’s no heavy traffic.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  <w:r w:rsidRPr="00B629E7">
              <w:rPr>
                <w:rFonts w:asciiTheme="minorHAnsi" w:hAnsiTheme="minorHAnsi"/>
                <w:vanish/>
                <w:sz w:val="26"/>
                <w:szCs w:val="26"/>
                <w:lang w:val="en-US"/>
              </w:rPr>
              <w:t>X</w:t>
            </w:r>
          </w:p>
        </w:tc>
        <w:tc>
          <w:tcPr>
            <w:tcW w:w="900" w:type="dxa"/>
          </w:tcPr>
          <w:p w:rsidR="00B629E7" w:rsidRPr="00B629E7" w:rsidRDefault="00B629E7" w:rsidP="00B629E7">
            <w:pPr>
              <w:overflowPunct/>
              <w:autoSpaceDE/>
              <w:autoSpaceDN/>
              <w:adjustRightInd/>
              <w:spacing w:before="40" w:after="360"/>
              <w:jc w:val="center"/>
              <w:textAlignment w:val="auto"/>
              <w:rPr>
                <w:rFonts w:asciiTheme="minorHAnsi" w:hAnsiTheme="minorHAnsi"/>
                <w:vanish/>
                <w:sz w:val="26"/>
                <w:szCs w:val="26"/>
                <w:lang w:val="en-US"/>
              </w:rPr>
            </w:pPr>
          </w:p>
        </w:tc>
      </w:tr>
    </w:tbl>
    <w:p w:rsidR="00B629E7" w:rsidRPr="00B629E7" w:rsidRDefault="00B629E7" w:rsidP="00B629E7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bCs/>
          <w:sz w:val="26"/>
          <w:szCs w:val="26"/>
          <w:lang w:val="en-US"/>
        </w:rPr>
      </w:pPr>
    </w:p>
    <w:p w:rsidR="00C362D9" w:rsidRPr="00B629E7" w:rsidRDefault="00C362D9" w:rsidP="00AA7190">
      <w:pPr>
        <w:spacing w:before="120"/>
        <w:rPr>
          <w:sz w:val="26"/>
          <w:szCs w:val="26"/>
          <w:lang w:val="en-US"/>
        </w:rPr>
      </w:pPr>
    </w:p>
    <w:sectPr w:rsidR="00C362D9" w:rsidRPr="00B629E7" w:rsidSect="00CE2B05"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904" w:rsidRDefault="00075904">
      <w:r>
        <w:separator/>
      </w:r>
    </w:p>
  </w:endnote>
  <w:endnote w:type="continuationSeparator" w:id="0">
    <w:p w:rsidR="00075904" w:rsidRDefault="0007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904" w:rsidRDefault="00075904">
      <w:r>
        <w:separator/>
      </w:r>
    </w:p>
  </w:footnote>
  <w:footnote w:type="continuationSeparator" w:id="0">
    <w:p w:rsidR="00075904" w:rsidRDefault="00075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75904"/>
    <w:rsid w:val="000972AF"/>
    <w:rsid w:val="000D3796"/>
    <w:rsid w:val="00103812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629E7"/>
    <w:rsid w:val="00BE0027"/>
    <w:rsid w:val="00C2614D"/>
    <w:rsid w:val="00C362D9"/>
    <w:rsid w:val="00CE2B05"/>
    <w:rsid w:val="00D15BEF"/>
    <w:rsid w:val="00D34601"/>
    <w:rsid w:val="00DD5449"/>
    <w:rsid w:val="00DF14B7"/>
    <w:rsid w:val="00E04777"/>
    <w:rsid w:val="00E3400A"/>
    <w:rsid w:val="00E837CD"/>
    <w:rsid w:val="00ED1BF7"/>
    <w:rsid w:val="00FC4BE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3</cp:revision>
  <cp:lastPrinted>2012-10-23T08:09:00Z</cp:lastPrinted>
  <dcterms:created xsi:type="dcterms:W3CDTF">2014-05-04T09:18:00Z</dcterms:created>
  <dcterms:modified xsi:type="dcterms:W3CDTF">2014-07-23T09:58:00Z</dcterms:modified>
</cp:coreProperties>
</file>