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25" w:rsidRDefault="00CC3725" w:rsidP="00CC3725">
      <w:pPr>
        <w:spacing w:before="120"/>
      </w:pPr>
    </w:p>
    <w:tbl>
      <w:tblPr>
        <w:tblW w:w="0" w:type="auto"/>
        <w:tblInd w:w="-324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1085"/>
        <w:gridCol w:w="1086"/>
        <w:gridCol w:w="1085"/>
        <w:gridCol w:w="1086"/>
        <w:gridCol w:w="1457"/>
      </w:tblGrid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line="283" w:lineRule="exact"/>
            </w:pPr>
            <w:r>
              <w:rPr>
                <w:b/>
                <w:bCs/>
              </w:rPr>
              <w:t>Ich kann ...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725" w:rsidRDefault="00CC3725" w:rsidP="008F5CDD">
            <w:pPr>
              <w:pStyle w:val="TabellenInhalt"/>
              <w:spacing w:line="283" w:lineRule="exact"/>
              <w:jc w:val="center"/>
            </w:pPr>
            <w:r>
              <w:rPr>
                <w:b/>
                <w:bCs/>
              </w:rPr>
              <w:t>sicher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725" w:rsidRDefault="00CC3725" w:rsidP="008F5CDD">
            <w:pPr>
              <w:pStyle w:val="TabellenInhalt"/>
              <w:spacing w:line="283" w:lineRule="exact"/>
              <w:jc w:val="center"/>
            </w:pPr>
            <w:r>
              <w:rPr>
                <w:b/>
                <w:bCs/>
              </w:rPr>
              <w:t>ziemlich sicher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725" w:rsidRDefault="00CC3725" w:rsidP="008F5CDD">
            <w:pPr>
              <w:pStyle w:val="TabellenInhalt"/>
              <w:spacing w:line="283" w:lineRule="exact"/>
              <w:jc w:val="center"/>
            </w:pPr>
            <w:r>
              <w:rPr>
                <w:b/>
                <w:bCs/>
              </w:rPr>
              <w:t>unsicher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725" w:rsidRDefault="00CC3725" w:rsidP="008F5CDD">
            <w:pPr>
              <w:pStyle w:val="TabellenInhalt"/>
              <w:spacing w:line="283" w:lineRule="exact"/>
              <w:jc w:val="center"/>
            </w:pPr>
            <w:r>
              <w:rPr>
                <w:b/>
                <w:bCs/>
              </w:rPr>
              <w:t>sehr unsicher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3725" w:rsidRDefault="00CC3725" w:rsidP="008F5CDD">
            <w:pPr>
              <w:pStyle w:val="TabellenInhalt"/>
              <w:spacing w:line="283" w:lineRule="exact"/>
              <w:jc w:val="center"/>
            </w:pPr>
            <w:r>
              <w:rPr>
                <w:b/>
                <w:bCs/>
              </w:rPr>
              <w:t>Hilfe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Farbe einer mit Universalindikatorlösung versetzten Säure-Lösung angeben.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bookmarkStart w:id="0" w:name="__DdeLink__185_1091874800"/>
            <w:r>
              <w:rPr>
                <w:rFonts w:eastAsia="Arial" w:cs="Arial"/>
              </w:rPr>
              <w:t>→</w:t>
            </w:r>
            <w:r>
              <w:t xml:space="preserve"> </w:t>
            </w:r>
            <w:bookmarkEnd w:id="0"/>
            <w:r>
              <w:t>1.1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Farbe einer mit Universalindikatorlösung versetzten Base-Lösung angeben.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1.1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charakteristischen Teilchen einer Säure-Lösung nennen.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2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charakteristischen Teilchen einer Base-Lösung nennen.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2.5.1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eine verdünnte Salzsäure-Lösung modellhaft skizzieren.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2.3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eine verdünnte Natronlauge-Lösung modellhaft skizzieren.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2.5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Summenformel von zwei verschiedenen Säure-Teilchen angeben.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</w:t>
            </w:r>
          </w:p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3.1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Summenformel von zwei verschiedenen Base-Teilchen angeben.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3.2</w:t>
            </w:r>
          </w:p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3.3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bookmarkStart w:id="1" w:name="__DdeLink__243_683787095"/>
            <w:bookmarkEnd w:id="1"/>
            <w:r>
              <w:t xml:space="preserve">eine Reaktionsgleichung formulieren, die ein Teilchen als </w:t>
            </w:r>
            <w:proofErr w:type="spellStart"/>
            <w:r>
              <w:t>Protonendonator</w:t>
            </w:r>
            <w:proofErr w:type="spellEnd"/>
            <w:r>
              <w:t xml:space="preserve"> veranschaulicht.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eine Reaktionsgleichung formulieren, die ein Teilchen als Protonenakzeptor veranschaulicht.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3.2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die Begriffe Dissoziation und Protolyse mithilfe von Reaktionsgleichungen unterscheiden.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2, </w:t>
            </w:r>
            <w:r>
              <w:rPr>
                <w:rFonts w:eastAsia="Arial" w:cs="Arial"/>
              </w:rPr>
              <w:t>→</w:t>
            </w:r>
            <w:r>
              <w:t xml:space="preserve"> 2.1.1</w:t>
            </w:r>
          </w:p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3, </w:t>
            </w:r>
            <w:r>
              <w:rPr>
                <w:rFonts w:eastAsia="Arial" w:cs="Arial"/>
              </w:rPr>
              <w:t>→</w:t>
            </w:r>
            <w:r>
              <w:t xml:space="preserve"> 3.1.1</w:t>
            </w:r>
          </w:p>
        </w:tc>
      </w:tr>
      <w:tr w:rsidR="00CC3725" w:rsidTr="008F5CDD">
        <w:tblPrEx>
          <w:tblCellMar>
            <w:top w:w="0" w:type="dxa"/>
            <w:bottom w:w="0" w:type="dxa"/>
          </w:tblCellMar>
        </w:tblPrEx>
        <w:tc>
          <w:tcPr>
            <w:tcW w:w="440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t>den Begriff Neutralisation mithilfe einer Reaktionsgleichung als Säure-Base-Reaktion deuten.</w:t>
            </w: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0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</w:p>
        </w:tc>
        <w:tc>
          <w:tcPr>
            <w:tcW w:w="145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725" w:rsidRDefault="00CC3725" w:rsidP="008F5CDD">
            <w:pPr>
              <w:pStyle w:val="TabellenInhalt"/>
              <w:spacing w:before="57" w:after="57" w:line="283" w:lineRule="exact"/>
            </w:pPr>
            <w:r>
              <w:rPr>
                <w:rFonts w:eastAsia="Arial" w:cs="Arial"/>
              </w:rPr>
              <w:t>→</w:t>
            </w:r>
            <w:r>
              <w:t xml:space="preserve"> 4</w:t>
            </w:r>
          </w:p>
        </w:tc>
      </w:tr>
    </w:tbl>
    <w:p w:rsidR="00CC3725" w:rsidRDefault="00CC3725" w:rsidP="00CC3725">
      <w:pPr>
        <w:spacing w:before="120"/>
      </w:pPr>
    </w:p>
    <w:p w:rsidR="00C362D9" w:rsidRDefault="00C362D9" w:rsidP="00AA7190">
      <w:pPr>
        <w:spacing w:before="120"/>
        <w:rPr>
          <w:sz w:val="22"/>
        </w:rPr>
      </w:pPr>
      <w:bookmarkStart w:id="2" w:name="_GoBack"/>
      <w:bookmarkEnd w:id="2"/>
    </w:p>
    <w:sectPr w:rsidR="00C362D9" w:rsidSect="00CE2B05">
      <w:headerReference w:type="default" r:id="rId6"/>
      <w:footerReference w:type="default" r:id="rId7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3B" w:rsidRDefault="00C5773B">
      <w:r>
        <w:separator/>
      </w:r>
    </w:p>
  </w:endnote>
  <w:endnote w:type="continuationSeparator" w:id="0">
    <w:p w:rsidR="00C5773B" w:rsidRDefault="00C5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CC3725" w:rsidP="0039780F">
    <w:pPr>
      <w:pStyle w:val="Fuzeile"/>
      <w:tabs>
        <w:tab w:val="clear" w:pos="9072"/>
        <w:tab w:val="right" w:pos="9639"/>
      </w:tabs>
    </w:pPr>
    <w:r>
      <w:rPr>
        <w:sz w:val="14"/>
      </w:rPr>
      <w:t xml:space="preserve">Säuren und </w:t>
    </w:r>
    <w:proofErr w:type="spellStart"/>
    <w:r>
      <w:rPr>
        <w:sz w:val="14"/>
      </w:rPr>
      <w:t>Basen</w:t>
    </w:r>
    <w:r w:rsidR="002C696A">
      <w:rPr>
        <w:sz w:val="14"/>
      </w:rPr>
      <w:t>_</w:t>
    </w:r>
    <w:r>
      <w:rPr>
        <w:sz w:val="14"/>
      </w:rPr>
      <w:t>Bader</w:t>
    </w:r>
    <w:proofErr w:type="spellEnd"/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3B" w:rsidRDefault="00C5773B">
      <w:r>
        <w:separator/>
      </w:r>
    </w:p>
  </w:footnote>
  <w:footnote w:type="continuationSeparator" w:id="0">
    <w:p w:rsidR="00C5773B" w:rsidRDefault="00C57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C5773B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</w:tr>
    <w:tr w:rsidR="00C2614D" w:rsidTr="00C5773B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5773B"/>
    <w:rsid w:val="00CC3725"/>
    <w:rsid w:val="00CE2B05"/>
    <w:rsid w:val="00D15BEF"/>
    <w:rsid w:val="00DD5449"/>
    <w:rsid w:val="00DF14B7"/>
    <w:rsid w:val="00E04777"/>
    <w:rsid w:val="00E3400A"/>
    <w:rsid w:val="00E837CD"/>
    <w:rsid w:val="00ED1BF7"/>
    <w:rsid w:val="00F676FE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79C3D48-638E-4087-947F-15E77F60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CC3725"/>
    <w:pPr>
      <w:suppressLineNumbers/>
      <w:tabs>
        <w:tab w:val="left" w:pos="709"/>
      </w:tabs>
      <w:suppressAutoHyphens/>
      <w:autoSpaceDE/>
      <w:autoSpaceDN/>
      <w:adjustRightInd/>
      <w:spacing w:after="160" w:line="259" w:lineRule="auto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cp:lastModifiedBy>Christine</cp:lastModifiedBy>
  <cp:revision>2</cp:revision>
  <cp:lastPrinted>2012-10-23T08:09:00Z</cp:lastPrinted>
  <dcterms:created xsi:type="dcterms:W3CDTF">2015-05-15T06:09:00Z</dcterms:created>
  <dcterms:modified xsi:type="dcterms:W3CDTF">2015-05-15T06:09:00Z</dcterms:modified>
</cp:coreProperties>
</file>