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CC0F" w14:textId="64A33A49" w:rsidR="00B524E2" w:rsidRPr="00FA0E0B" w:rsidRDefault="004432D0" w:rsidP="00FA0E0B">
      <w:pPr>
        <w:jc w:val="center"/>
        <w:rPr>
          <w:b/>
          <w:bCs/>
          <w:color w:val="A6A6A6" w:themeColor="background1" w:themeShade="A6"/>
          <w:sz w:val="28"/>
          <w:szCs w:val="28"/>
          <w:lang w:eastAsia="de-DE"/>
        </w:rPr>
      </w:pPr>
      <w:r w:rsidRPr="00FA0E0B">
        <w:rPr>
          <w:b/>
          <w:bCs/>
          <w:color w:val="A6A6A6" w:themeColor="background1" w:themeShade="A6"/>
          <w:sz w:val="28"/>
          <w:szCs w:val="28"/>
          <w:lang w:eastAsia="de-DE"/>
        </w:rPr>
        <w:t>Zitierregeln: Beispieltexte</w:t>
      </w:r>
    </w:p>
    <w:p w14:paraId="429C32D1" w14:textId="77777777" w:rsidR="00B524E2" w:rsidRDefault="004432D0" w:rsidP="00FA0E0B">
      <w:pPr>
        <w:pStyle w:val="berschrift1"/>
        <w:rPr>
          <w:rFonts w:eastAsia="Times New Roman"/>
          <w:lang w:eastAsia="de-DE"/>
        </w:rPr>
      </w:pPr>
      <w:r>
        <w:rPr>
          <w:rFonts w:eastAsia="Times New Roman"/>
          <w:lang w:eastAsia="de-DE"/>
        </w:rPr>
        <w:t>Über dieses Dokument</w:t>
      </w:r>
    </w:p>
    <w:p w14:paraId="7D564DD2" w14:textId="77777777" w:rsidR="00B524E2" w:rsidRDefault="004432D0">
      <w:pPr>
        <w:rPr>
          <w:lang w:eastAsia="de-DE"/>
        </w:rPr>
      </w:pPr>
      <w:r>
        <w:rPr>
          <w:lang w:eastAsia="de-DE"/>
        </w:rPr>
        <w:t xml:space="preserve">Auf dieser Seite werden Textausschnitte gesammelt, die in den Arbeitsblättern zum Thema </w:t>
      </w:r>
      <w:r>
        <w:rPr>
          <w:i/>
          <w:lang w:eastAsia="de-DE"/>
        </w:rPr>
        <w:t>Richtig zitieren</w:t>
      </w:r>
      <w:r>
        <w:rPr>
          <w:lang w:eastAsia="de-DE"/>
        </w:rPr>
        <w:t xml:space="preserve"> als Beispiele verwendet werden. Bei den Auszügen aus dem Buch von Julius Haarhaus handelt es sich um Originalauszüge aus einem urheberrechtsfreien Buch, der Text über Eichhörnchen (Text 2) wurde für diese Unterrichtseinheit erfunden.</w:t>
      </w:r>
    </w:p>
    <w:p w14:paraId="72F45F95" w14:textId="77777777" w:rsidR="00B524E2" w:rsidRDefault="004432D0">
      <w:pPr>
        <w:pStyle w:val="berschrift3"/>
        <w:rPr>
          <w:rFonts w:cs="Arial"/>
        </w:rPr>
      </w:pPr>
      <w:r>
        <w:rPr>
          <w:rFonts w:cs="Arial"/>
        </w:rPr>
        <w:t>Text 1: Julius Haarh</w:t>
      </w:r>
      <w:r>
        <w:rPr>
          <w:rFonts w:cs="Arial"/>
        </w:rPr>
        <w:t>aus: Rom</w:t>
      </w:r>
    </w:p>
    <w:p w14:paraId="2403BF5B" w14:textId="35466679" w:rsidR="00B524E2" w:rsidRDefault="004432D0">
      <w:pPr>
        <w:pStyle w:val="Textbody"/>
      </w:pPr>
      <w:r>
        <w:t>Julius Haarhaus</w:t>
      </w:r>
      <w:r w:rsidR="006C306C">
        <w:t xml:space="preserve"> (</w:t>
      </w:r>
      <w:r w:rsidR="006C306C">
        <w:t>1925</w:t>
      </w:r>
      <w:r w:rsidR="006C306C">
        <w:t>)</w:t>
      </w:r>
      <w:r>
        <w:t xml:space="preserve">: Rom. Wanderungen durch die ewige Stadt und ihre Umgebung, Leipzig </w:t>
      </w:r>
    </w:p>
    <w:p w14:paraId="3ED0D303" w14:textId="77777777" w:rsidR="00B524E2" w:rsidRDefault="004432D0">
      <w:pPr>
        <w:pStyle w:val="Textbody"/>
      </w:pPr>
      <w:r>
        <w:t>Julius Haarhaus lebte von 1867 bis 1947 (</w:t>
      </w:r>
      <w:hyperlink r:id="rId6" w:history="1">
        <w:r>
          <w:t>Wikipedia</w:t>
        </w:r>
      </w:hyperlink>
      <w:r>
        <w:t>). Seine Texte unterliegen daher nicht mehr</w:t>
      </w:r>
      <w:r>
        <w:t xml:space="preserve"> dem Urheberrecht.</w:t>
      </w:r>
    </w:p>
    <w:p w14:paraId="6C3BE278" w14:textId="77777777" w:rsidR="00B524E2" w:rsidRDefault="004432D0">
      <w:pPr>
        <w:pStyle w:val="Textbody"/>
        <w:pBdr>
          <w:bottom w:val="single" w:sz="2" w:space="2" w:color="000000"/>
        </w:pBdr>
      </w:pPr>
      <w:r>
        <w:rPr>
          <w:rStyle w:val="Hervorhebung"/>
        </w:rPr>
        <w:t>Seite 3 und 4: Über die Bedeutung Roms vom 4. bis zum 17. Jh. n. Chr.</w:t>
      </w:r>
    </w:p>
    <w:p w14:paraId="506C0144" w14:textId="77777777" w:rsidR="00B524E2" w:rsidRDefault="004432D0">
      <w:pPr>
        <w:pStyle w:val="Textbody"/>
        <w:pBdr>
          <w:bottom w:val="single" w:sz="2" w:space="2" w:color="000000"/>
        </w:pBdr>
      </w:pPr>
      <w:r>
        <w:rPr>
          <w:rStyle w:val="Hervorhebung"/>
        </w:rPr>
        <w:t>Beginn des Beispieltextes 1</w:t>
      </w:r>
    </w:p>
    <w:p w14:paraId="5A79684A" w14:textId="77777777" w:rsidR="00B524E2" w:rsidRDefault="00B524E2">
      <w:pPr>
        <w:pStyle w:val="Textbody"/>
      </w:pPr>
    </w:p>
    <w:p w14:paraId="7EA2CFDF" w14:textId="77777777" w:rsidR="00B524E2" w:rsidRDefault="004432D0">
      <w:pPr>
        <w:jc w:val="right"/>
      </w:pPr>
      <w:r>
        <w:t>Gegen Ende des vierten Jahrhunderts der christlichen Zeitrechnung</w:t>
      </w:r>
    </w:p>
    <w:p w14:paraId="470D9AEB" w14:textId="77777777" w:rsidR="00B524E2" w:rsidRDefault="004432D0" w:rsidP="00FA0E0B">
      <w:pPr>
        <w:ind w:left="708"/>
        <w:jc w:val="both"/>
      </w:pPr>
      <w:r>
        <w:t>| S. 3 ⇒ S. 4 |</w:t>
      </w:r>
    </w:p>
    <w:p w14:paraId="6FFCFB6A" w14:textId="77777777" w:rsidR="00B524E2" w:rsidRDefault="004432D0" w:rsidP="00FA0E0B">
      <w:pPr>
        <w:ind w:left="708"/>
        <w:jc w:val="both"/>
      </w:pPr>
      <w:r>
        <w:t>kamen dann – zunächst als Ersatz für schwere Kirchenstr</w:t>
      </w:r>
      <w:r>
        <w:t>afen – die Wallfahrten zu den Gräbern der Apostelfürsten Petrus und Paulus in Aufnahme. Seit dieser Zeit haben die Pilgerzüge nach Rom nicht aufgehört, bei denen den Gläubigen schon früh der Besuch der sieben Hauptkirchen, d. h. der fünf Patriarchalbasilik</w:t>
      </w:r>
      <w:r>
        <w:t xml:space="preserve">en S. Pietro al </w:t>
      </w:r>
      <w:proofErr w:type="spellStart"/>
      <w:r>
        <w:t>Vaticano</w:t>
      </w:r>
      <w:proofErr w:type="spellEnd"/>
      <w:r>
        <w:t xml:space="preserve">, S. Giovanni in </w:t>
      </w:r>
      <w:proofErr w:type="spellStart"/>
      <w:r>
        <w:t>Laterano</w:t>
      </w:r>
      <w:proofErr w:type="spellEnd"/>
      <w:r>
        <w:t xml:space="preserve">, S. Paolo </w:t>
      </w:r>
      <w:proofErr w:type="spellStart"/>
      <w:r>
        <w:t>fuori</w:t>
      </w:r>
      <w:proofErr w:type="spellEnd"/>
      <w:r>
        <w:t xml:space="preserve"> le </w:t>
      </w:r>
      <w:proofErr w:type="spellStart"/>
      <w:r>
        <w:t>mura</w:t>
      </w:r>
      <w:proofErr w:type="spellEnd"/>
      <w:r>
        <w:t xml:space="preserve">, S. Maria Maggiore und S. Lorenzo </w:t>
      </w:r>
      <w:proofErr w:type="spellStart"/>
      <w:r>
        <w:t>fuori</w:t>
      </w:r>
      <w:proofErr w:type="spellEnd"/>
      <w:r>
        <w:t xml:space="preserve"> le </w:t>
      </w:r>
      <w:proofErr w:type="spellStart"/>
      <w:r>
        <w:t>mura</w:t>
      </w:r>
      <w:proofErr w:type="spellEnd"/>
      <w:r>
        <w:t xml:space="preserve"> sowie der Kirche S. Croce in </w:t>
      </w:r>
      <w:proofErr w:type="spellStart"/>
      <w:r>
        <w:t>Gerusalemme</w:t>
      </w:r>
      <w:proofErr w:type="spellEnd"/>
      <w:r>
        <w:t xml:space="preserve"> und der über den Katakomben von S. Sebastiano erbauten Basilika gleichen Namens, zur Pflicht </w:t>
      </w:r>
      <w:r>
        <w:t>gemacht wurde.</w:t>
      </w:r>
    </w:p>
    <w:p w14:paraId="57460DBD" w14:textId="77777777" w:rsidR="00B524E2" w:rsidRDefault="004432D0" w:rsidP="00FA0E0B">
      <w:pPr>
        <w:ind w:left="708"/>
        <w:jc w:val="both"/>
      </w:pPr>
      <w:r>
        <w:t xml:space="preserve">Aber nicht nur reuige Sünder und heilsbegierige Fromme lockte die ehrwürdige Stadt der Städte: seit dem Jahre 800, wo Papst Leo III. Karl dem Großen beim Weihnachtsfeste die Krone aufs Haupt drückte, zogen auch die deutschen Könige über die </w:t>
      </w:r>
      <w:r>
        <w:t xml:space="preserve">Alpen, um aus der Hand des Statthalters Christi die Herrschaft über Italien und damit zugleich die römische Kaiserwürde zu empfangen. Als der letzte von ihnen hat der schwache Friedrich III., mit dem das Mittelalter zu Ende ging, 1452 den </w:t>
      </w:r>
      <w:proofErr w:type="spellStart"/>
      <w:r>
        <w:t>Römerzug</w:t>
      </w:r>
      <w:proofErr w:type="spellEnd"/>
      <w:r>
        <w:t xml:space="preserve"> unternom</w:t>
      </w:r>
      <w:r>
        <w:t>men.</w:t>
      </w:r>
      <w:r>
        <w:br/>
      </w:r>
      <w:r>
        <w:t>Der Zuzug fremder Künstler begann schon in der Renaissancezeit, erreichte jedoch seine Höhe erst zu Beginn des 17. Jahrhunderts, wo die Stadt eine Nachblüte der Kunst erlebte.</w:t>
      </w:r>
    </w:p>
    <w:p w14:paraId="0727A650" w14:textId="77777777" w:rsidR="00B524E2" w:rsidRDefault="00B524E2" w:rsidP="00FA0E0B">
      <w:pPr>
        <w:pageBreakBefore/>
        <w:ind w:left="708"/>
        <w:jc w:val="both"/>
      </w:pPr>
    </w:p>
    <w:p w14:paraId="1723FD31" w14:textId="77777777" w:rsidR="00B524E2" w:rsidRDefault="004432D0" w:rsidP="00FA0E0B">
      <w:pPr>
        <w:pStyle w:val="Textbody"/>
        <w:ind w:left="708"/>
      </w:pPr>
      <w:r>
        <w:rPr>
          <w:rStyle w:val="Hervorhebung"/>
        </w:rPr>
        <w:t>Seite 5: Goethe in Rom</w:t>
      </w:r>
    </w:p>
    <w:p w14:paraId="5AB50822" w14:textId="77777777" w:rsidR="00B524E2" w:rsidRDefault="004432D0" w:rsidP="00FA0E0B">
      <w:pPr>
        <w:ind w:left="708"/>
      </w:pPr>
      <w:r>
        <w:t xml:space="preserve">Im Herbst 1786 traf Goethe in der </w:t>
      </w:r>
      <w:r>
        <w:t>Tiberstadt ein, nach der ihn, wie er an den Herzog Carl August schreibt, „ein unwiderstehliches Bedürfnis hinzog“. Seit er Venedig gesehen, scheint er nur noch das e i n e Reiseziel</w:t>
      </w:r>
    </w:p>
    <w:p w14:paraId="6E05D731" w14:textId="77777777" w:rsidR="00B524E2" w:rsidRDefault="004432D0" w:rsidP="00FA0E0B">
      <w:pPr>
        <w:ind w:left="708"/>
      </w:pPr>
      <w:r>
        <w:t>| S. 5 ⇒ S. 6 |</w:t>
      </w:r>
    </w:p>
    <w:p w14:paraId="711D60A5" w14:textId="77777777" w:rsidR="00B524E2" w:rsidRDefault="004432D0" w:rsidP="00FA0E0B">
      <w:pPr>
        <w:ind w:left="708"/>
        <w:jc w:val="both"/>
      </w:pPr>
      <w:r>
        <w:t xml:space="preserve">zu haben. Ferrara und </w:t>
      </w:r>
      <w:proofErr w:type="spellStart"/>
      <w:r>
        <w:t>Cento</w:t>
      </w:r>
      <w:proofErr w:type="spellEnd"/>
      <w:r>
        <w:t xml:space="preserve"> werden flüchtig besichtigt, u</w:t>
      </w:r>
      <w:r>
        <w:t>nd noch ehe er Bologna erreicht, vermerkt er: „Was die Nähe Roms mich zieht, drücke ich nicht aus. Wenn ich meiner Ungeduld folgte, ich sähe nichts auf dem Wege und eilte nur geradeaus. Noch vierzehn Tage, und eine Sehnsucht von dreißig Jahren ist gestillt</w:t>
      </w:r>
      <w:r>
        <w:t>! Und es ist mir immer noch, als wenn's nicht möglich wäre.“</w:t>
      </w:r>
    </w:p>
    <w:p w14:paraId="0F117EE0" w14:textId="77777777" w:rsidR="00B524E2" w:rsidRDefault="004432D0" w:rsidP="00FA0E0B">
      <w:pPr>
        <w:ind w:left="708"/>
        <w:jc w:val="both"/>
      </w:pPr>
      <w:r>
        <w:rPr>
          <w:rStyle w:val="Hervorhebung"/>
        </w:rPr>
        <w:t xml:space="preserve">Seite 40: Über den Carneval in der Via del </w:t>
      </w:r>
      <w:proofErr w:type="spellStart"/>
      <w:r>
        <w:rPr>
          <w:rStyle w:val="Hervorhebung"/>
        </w:rPr>
        <w:t>corso</w:t>
      </w:r>
      <w:proofErr w:type="spellEnd"/>
    </w:p>
    <w:p w14:paraId="2D3CFE44" w14:textId="77777777" w:rsidR="00B524E2" w:rsidRDefault="004432D0" w:rsidP="00FA0E0B">
      <w:pPr>
        <w:ind w:left="708"/>
        <w:jc w:val="both"/>
      </w:pPr>
      <w:r>
        <w:t>Noch bis zum Ausgang des vorigen Jahrhunderts war der Corso die Stätte der römischen Karnevalsfreuden. Dann herrschte auf der 1700 m langen und du</w:t>
      </w:r>
      <w:r>
        <w:t xml:space="preserve">rchschnittlich nur 12 m breiten Straße bis tief in die Nacht ein lebensgefährliches Gedränge von mehrstöckigen, mit Musikkorps besetzten Prunkwagen, geputzten Kutschen und phantastisch kostümierten Menschen, auf die aus den Fenstern der </w:t>
      </w:r>
      <w:proofErr w:type="spellStart"/>
      <w:r>
        <w:t>Confettihagel</w:t>
      </w:r>
      <w:proofErr w:type="spellEnd"/>
      <w:r>
        <w:t xml:space="preserve"> niede</w:t>
      </w:r>
      <w:r>
        <w:t>rprasselte, der alle diese bunten Gestalten nach und nach gleichmäßig mit weißem Gipsstaub überpuderte. An dem Treiben auf der Straße beteiligte sich in der Regel nur die Männerwelt, während die Weiblichkeit von den mit Teppichen behängten Fenstern und Bal</w:t>
      </w:r>
      <w:r>
        <w:t>konen aus zuschaute und mit flinker Hand die ihr von unten zugeschleuderten Blumensträuße auffing. Ihren Höhepunkt erreichte die Lustbarkeit am Dienstag-</w:t>
      </w:r>
    </w:p>
    <w:p w14:paraId="17F33499" w14:textId="77777777" w:rsidR="00B524E2" w:rsidRDefault="004432D0" w:rsidP="00FA0E0B">
      <w:pPr>
        <w:ind w:left="708"/>
        <w:jc w:val="both"/>
      </w:pPr>
      <w:r>
        <w:t>| Seite 40 ⇒ Seite 41 |</w:t>
      </w:r>
    </w:p>
    <w:p w14:paraId="68358668" w14:textId="77777777" w:rsidR="00B524E2" w:rsidRDefault="004432D0" w:rsidP="00FA0E0B">
      <w:pPr>
        <w:pBdr>
          <w:bottom w:val="single" w:sz="6" w:space="1" w:color="auto"/>
        </w:pBdr>
        <w:ind w:left="708"/>
        <w:jc w:val="both"/>
      </w:pPr>
      <w:proofErr w:type="spellStart"/>
      <w:r>
        <w:t>abend</w:t>
      </w:r>
      <w:proofErr w:type="spellEnd"/>
      <w:r>
        <w:t xml:space="preserve"> mit der </w:t>
      </w:r>
      <w:proofErr w:type="spellStart"/>
      <w:r>
        <w:t>Moccolifeier</w:t>
      </w:r>
      <w:proofErr w:type="spellEnd"/>
      <w:r>
        <w:t>, bei der jeder ein brennendes Wachslicht in der Han</w:t>
      </w:r>
      <w:r>
        <w:t xml:space="preserve">d trug und sich bemühte, die Kerzen der ihm Begegnenden mit dem Ruf: „O </w:t>
      </w:r>
      <w:proofErr w:type="spellStart"/>
      <w:r>
        <w:t>che</w:t>
      </w:r>
      <w:proofErr w:type="spellEnd"/>
      <w:r>
        <w:t xml:space="preserve"> </w:t>
      </w:r>
      <w:proofErr w:type="spellStart"/>
      <w:r>
        <w:t>vergogna</w:t>
      </w:r>
      <w:proofErr w:type="spellEnd"/>
      <w:r>
        <w:t xml:space="preserve">! Senza </w:t>
      </w:r>
      <w:proofErr w:type="spellStart"/>
      <w:r>
        <w:t>moccolo</w:t>
      </w:r>
      <w:proofErr w:type="spellEnd"/>
      <w:r>
        <w:t>!“ (O welche Schande! Kein Licht!) auszublasen.</w:t>
      </w:r>
    </w:p>
    <w:p w14:paraId="71E837C1" w14:textId="77777777" w:rsidR="00FA0E0B" w:rsidRDefault="00FA0E0B">
      <w:pPr>
        <w:jc w:val="both"/>
      </w:pPr>
    </w:p>
    <w:p w14:paraId="7D3A8AAE" w14:textId="77777777" w:rsidR="00B524E2" w:rsidRDefault="004432D0" w:rsidP="00FA0E0B">
      <w:pPr>
        <w:pStyle w:val="berschrift1"/>
      </w:pPr>
      <w:bookmarkStart w:id="0" w:name="eichhoernchen"/>
      <w:bookmarkEnd w:id="0"/>
      <w:r>
        <w:t>Text 2: Über die Eichhörnchen</w:t>
      </w:r>
    </w:p>
    <w:p w14:paraId="49E7308B" w14:textId="77777777" w:rsidR="00B524E2" w:rsidRDefault="004432D0">
      <w:r>
        <w:t xml:space="preserve">Der folgende Text dient zur Übung. Er kann, unter der </w:t>
      </w:r>
      <w:hyperlink r:id="rId7" w:history="1">
        <w:r>
          <w:t>Angabe der Lizenz</w:t>
        </w:r>
      </w:hyperlink>
      <w:r>
        <w:t xml:space="preserve">, auch für andere Publikationen verwendet werden. </w:t>
      </w:r>
      <w:r>
        <w:rPr>
          <w:rStyle w:val="StrongEmphasis"/>
        </w:rPr>
        <w:t>Der Titel des Buches und der Name des Autors sind erfunden; der Text wurde von der Redaktion des Landesbild</w:t>
      </w:r>
      <w:r>
        <w:rPr>
          <w:rStyle w:val="StrongEmphasis"/>
        </w:rPr>
        <w:t>ungsservers verfasst</w:t>
      </w:r>
      <w:r>
        <w:t>.</w:t>
      </w:r>
    </w:p>
    <w:p w14:paraId="0BD1361C" w14:textId="77777777" w:rsidR="00FA0E0B" w:rsidRDefault="004432D0" w:rsidP="00FA0E0B">
      <w:pPr>
        <w:jc w:val="both"/>
      </w:pPr>
      <w:r>
        <w:lastRenderedPageBreak/>
        <w:t xml:space="preserve">Bernd </w:t>
      </w:r>
      <w:proofErr w:type="spellStart"/>
      <w:r>
        <w:t>Tiermann</w:t>
      </w:r>
      <w:proofErr w:type="spellEnd"/>
      <w:r>
        <w:t>: Die Nagetiere in Wald und Feld, Bielefeld (Waldmännchen-Verlag) 2017, S. 15 und 16</w:t>
      </w:r>
      <w:r>
        <w:rPr>
          <w:rStyle w:val="Funotenzeichen"/>
        </w:rPr>
        <w:footnoteReference w:id="1"/>
      </w:r>
      <w:r w:rsidR="00FA0E0B">
        <w:t xml:space="preserve">. </w:t>
      </w:r>
    </w:p>
    <w:p w14:paraId="7953FE5E" w14:textId="77777777" w:rsidR="00FA0E0B" w:rsidRDefault="00FA0E0B" w:rsidP="00FA0E0B">
      <w:pPr>
        <w:jc w:val="both"/>
      </w:pPr>
    </w:p>
    <w:p w14:paraId="7B079BF2" w14:textId="741589CA" w:rsidR="00B524E2" w:rsidRDefault="004432D0" w:rsidP="00FA0E0B">
      <w:pPr>
        <w:jc w:val="both"/>
      </w:pPr>
      <w:r>
        <w:t>Beginn des Beispieltextes 2, S. 15:</w:t>
      </w:r>
    </w:p>
    <w:p w14:paraId="1B026793" w14:textId="464C2102" w:rsidR="00FA0E0B" w:rsidRDefault="00FA0E0B">
      <w:pPr>
        <w:pBdr>
          <w:bottom w:val="single" w:sz="6" w:space="1" w:color="auto"/>
        </w:pBdr>
        <w:jc w:val="both"/>
      </w:pPr>
    </w:p>
    <w:p w14:paraId="215463D1" w14:textId="77777777" w:rsidR="00FA0E0B" w:rsidRDefault="00FA0E0B">
      <w:pPr>
        <w:jc w:val="both"/>
      </w:pPr>
      <w:bookmarkStart w:id="1" w:name="_GoBack"/>
      <w:bookmarkEnd w:id="1"/>
    </w:p>
    <w:p w14:paraId="269681BC" w14:textId="77777777" w:rsidR="00B524E2" w:rsidRDefault="004432D0" w:rsidP="00FA0E0B">
      <w:pPr>
        <w:ind w:left="708"/>
        <w:jc w:val="both"/>
      </w:pPr>
      <w:r>
        <w:t xml:space="preserve">Eichhörnchen gehören zu den Nagetieren. Sie sind Allesfresser und ernähren sich von Nüssen, Samen, Obst und kleinen Tieren wie z. </w:t>
      </w:r>
      <w:r>
        <w:t>B. Würmern.</w:t>
      </w:r>
    </w:p>
    <w:p w14:paraId="76FBD1E6" w14:textId="77777777" w:rsidR="00B524E2" w:rsidRDefault="004432D0" w:rsidP="00FA0E0B">
      <w:pPr>
        <w:ind w:left="708"/>
        <w:jc w:val="both"/>
      </w:pPr>
      <w:r>
        <w:t>In Deutschland kommen in der freien Natur nur die so genannten Europäischen Eichhörnchen vor, die meist eine rote Färbung haben. Manchmal liest man, dass die roten Eichhörnchen von grauen verdrängt werden, die aus anderen Teilen der Welt eingew</w:t>
      </w:r>
      <w:r>
        <w:t>andert sind, aber das stimmt nicht. Vielmehr gibt es unter den in Deutschland heimischen Eichhörnchen Tiere mit unterschiedlicher Färbung: Manche sind orange bis rot, manche eher grau oder schwarz.</w:t>
      </w:r>
    </w:p>
    <w:p w14:paraId="35B06522" w14:textId="77777777" w:rsidR="00B524E2" w:rsidRDefault="004432D0" w:rsidP="00FA0E0B">
      <w:pPr>
        <w:ind w:left="708"/>
        <w:jc w:val="both"/>
      </w:pPr>
      <w:r>
        <w:t>Nur in Großbritannien gibt es die Grauhörnchen, die aus Am</w:t>
      </w:r>
      <w:r>
        <w:t>erika eingeführt wurden. Diese verdrängen in einigen Gegenden Englands die roten, europäischen Eichhörnchen. Aber bei uns ist das nicht der Fall. Die Grauhörnchen sind größer als die in Deutschland heimischen Eichhörnchen.</w:t>
      </w:r>
    </w:p>
    <w:p w14:paraId="4B249780" w14:textId="77777777" w:rsidR="00B524E2" w:rsidRDefault="004432D0" w:rsidP="00FA0E0B">
      <w:pPr>
        <w:ind w:left="708"/>
        <w:jc w:val="both"/>
      </w:pPr>
      <w:r>
        <w:t>| Seite 15: ⇒ Seite 16 |</w:t>
      </w:r>
    </w:p>
    <w:p w14:paraId="55D4F4A5" w14:textId="77777777" w:rsidR="00B524E2" w:rsidRDefault="004432D0" w:rsidP="00FA0E0B">
      <w:pPr>
        <w:ind w:left="708"/>
        <w:jc w:val="both"/>
      </w:pPr>
      <w:r>
        <w:t>Eichhörn</w:t>
      </w:r>
      <w:r>
        <w:t>chen sind begabte Kletterer. Ihre Behausungen, die sie anlegen und die wie Nester aussehen, nennt man Kobel. In diesem Kobel bringt das Weibchen auch die Jungen zur Welt; meist sind es ein bis sechs Junge bei einem Wurf.</w:t>
      </w:r>
    </w:p>
    <w:p w14:paraId="65BA5467" w14:textId="77777777" w:rsidR="00B524E2" w:rsidRDefault="004432D0" w:rsidP="00FA0E0B">
      <w:pPr>
        <w:ind w:left="708"/>
        <w:jc w:val="both"/>
      </w:pPr>
      <w:r>
        <w:t>Um im Winter überleben zu können, l</w:t>
      </w:r>
      <w:r>
        <w:t>egen die Eichhörnchen Vorräte an, z. B. in Baumritzen oder in Erdlöchern. Manchmal vergessen sie diese Vorräte.</w:t>
      </w:r>
    </w:p>
    <w:p w14:paraId="141C3FF7" w14:textId="14DD1A47" w:rsidR="00B524E2" w:rsidRDefault="004432D0" w:rsidP="00FA0E0B">
      <w:pPr>
        <w:ind w:left="708"/>
        <w:jc w:val="both"/>
        <w:rPr>
          <w:lang w:eastAsia="de-DE"/>
        </w:rPr>
      </w:pPr>
      <w:r>
        <w:t>Die Eichhörnchen sind geschützt. Im Gegensatz zu Mäusen und Ratten darf man sie nicht fangen oder jagen. Damit es in Deutschland nicht, wie in G</w:t>
      </w:r>
      <w:r>
        <w:t>roßbritannien, zu einer Ausbreitung von Grauhörnchen kommt, darf man diese hier nicht einmal in Käfigen züchten oder halten.</w:t>
      </w:r>
    </w:p>
    <w:p w14:paraId="1ACEAFF0" w14:textId="77777777" w:rsidR="00B524E2" w:rsidRDefault="004432D0">
      <w:r>
        <w:rPr>
          <w:noProof/>
        </w:rPr>
        <mc:AlternateContent>
          <mc:Choice Requires="wps">
            <w:drawing>
              <wp:anchor distT="0" distB="0" distL="114300" distR="114300" simplePos="0" relativeHeight="3" behindDoc="0" locked="0" layoutInCell="1" allowOverlap="1" wp14:anchorId="4AE2A825" wp14:editId="74597299">
                <wp:simplePos x="0" y="0"/>
                <wp:positionH relativeFrom="column">
                  <wp:posOffset>182160</wp:posOffset>
                </wp:positionH>
                <wp:positionV relativeFrom="paragraph">
                  <wp:posOffset>165240</wp:posOffset>
                </wp:positionV>
                <wp:extent cx="573048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30480" cy="0"/>
                        </a:xfrm>
                        <a:prstGeom prst="straightConnector1">
                          <a:avLst/>
                        </a:prstGeom>
                        <a:noFill/>
                        <a:ln w="6480" cap="flat">
                          <a:solidFill>
                            <a:srgbClr val="5B9BD5"/>
                          </a:solidFill>
                          <a:prstDash val="solid"/>
                          <a:miter/>
                        </a:ln>
                      </wps:spPr>
                      <wps:bodyPr/>
                    </wps:wsp>
                  </a:graphicData>
                </a:graphic>
              </wp:anchor>
            </w:drawing>
          </mc:Choice>
          <mc:Fallback>
            <w:pict>
              <v:shapetype w14:anchorId="68480879" id="_x0000_t32" coordsize="21600,21600" o:spt="32" o:oned="t" path="m,l21600,21600e" filled="f">
                <v:path arrowok="t" fillok="f" o:connecttype="none"/>
                <o:lock v:ext="edit" shapetype="t"/>
              </v:shapetype>
              <v:shape id="Gerader Verbinder 2" o:spid="_x0000_s1026" type="#_x0000_t32" style="position:absolute;margin-left:14.35pt;margin-top:13pt;width:451.2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" strokecolor="#5b9bd5" strokeweight=".18mm">
                <v:stroke joinstyle="miter"/>
              </v:shape>
            </w:pict>
          </mc:Fallback>
        </mc:AlternateContent>
      </w:r>
    </w:p>
    <w:p w14:paraId="16D18171" w14:textId="1AC03022" w:rsidR="00B524E2" w:rsidRPr="00FA0E0B" w:rsidRDefault="004432D0" w:rsidP="00FA0E0B">
      <w:pPr>
        <w:spacing w:line="240" w:lineRule="auto"/>
        <w:rPr>
          <w:sz w:val="20"/>
          <w:szCs w:val="20"/>
          <w:u w:val="single"/>
          <w:lang w:eastAsia="de-DE"/>
        </w:rPr>
      </w:pPr>
      <w:r w:rsidRPr="00FA0E0B">
        <w:rPr>
          <w:sz w:val="20"/>
          <w:szCs w:val="20"/>
          <w:lang w:eastAsia="de-DE"/>
        </w:rPr>
        <w:t>URL dieses Dokuments:</w:t>
      </w:r>
      <w:hyperlink r:id="rId8" w:history="1">
        <w:r w:rsidRPr="00FA0E0B">
          <w:rPr>
            <w:color w:val="ACB9CA" w:themeColor="text2" w:themeTint="66"/>
            <w:sz w:val="20"/>
            <w:szCs w:val="20"/>
            <w:u w:val="single"/>
            <w:lang w:eastAsia="de-DE"/>
          </w:rPr>
          <w:t>https://www.schule-bw.de/themen-und-impulse/medienbildung/lernmaterial/zitierregeln/zitierregeln-und-beispiele/</w:t>
        </w:r>
        <w:r w:rsidRPr="00FA0E0B">
          <w:rPr>
            <w:color w:val="ACB9CA" w:themeColor="text2" w:themeTint="66"/>
            <w:sz w:val="20"/>
            <w:szCs w:val="20"/>
            <w:u w:val="single"/>
            <w:lang w:eastAsia="de-DE"/>
          </w:rPr>
          <w:t>beispieltexte.html</w:t>
        </w:r>
      </w:hyperlink>
      <w:r w:rsidR="00FA0E0B" w:rsidRPr="00FA0E0B">
        <w:rPr>
          <w:sz w:val="20"/>
          <w:szCs w:val="20"/>
          <w:u w:val="single"/>
          <w:lang w:eastAsia="de-DE"/>
        </w:rPr>
        <w:t xml:space="preserve"> </w:t>
      </w:r>
    </w:p>
    <w:p w14:paraId="7E5F801F" w14:textId="77777777" w:rsidR="00B524E2" w:rsidRPr="00FA0E0B" w:rsidRDefault="004432D0" w:rsidP="00FA0E0B">
      <w:pPr>
        <w:spacing w:line="240" w:lineRule="auto"/>
        <w:rPr>
          <w:sz w:val="20"/>
          <w:szCs w:val="20"/>
        </w:rPr>
      </w:pPr>
      <w:r w:rsidRPr="00FA0E0B">
        <w:rPr>
          <w:i/>
          <w:iCs/>
          <w:sz w:val="20"/>
          <w:szCs w:val="20"/>
          <w:lang w:eastAsia="de-DE"/>
        </w:rPr>
        <w:t>Informationen zur Lizenz</w:t>
      </w:r>
      <w:r w:rsidRPr="00FA0E0B">
        <w:rPr>
          <w:sz w:val="20"/>
          <w:szCs w:val="20"/>
          <w:lang w:eastAsia="de-DE"/>
        </w:rPr>
        <w:t>: Dieses Dokument steht unter der Standardlizenz des Landesbildungsservers:</w:t>
      </w:r>
    </w:p>
    <w:p w14:paraId="30C32EAE" w14:textId="77777777" w:rsidR="00B524E2" w:rsidRPr="00FA0E0B" w:rsidRDefault="004432D0" w:rsidP="00FA0E0B">
      <w:pPr>
        <w:spacing w:line="240" w:lineRule="auto"/>
        <w:rPr>
          <w:sz w:val="20"/>
          <w:szCs w:val="20"/>
        </w:rPr>
      </w:pPr>
      <w:hyperlink r:id="rId9" w:history="1">
        <w:r w:rsidRPr="00FA0E0B">
          <w:rPr>
            <w:rStyle w:val="Hyperlink"/>
            <w:sz w:val="20"/>
            <w:szCs w:val="20"/>
          </w:rPr>
          <w:t>https://www.schule-bw.de/ueber</w:t>
        </w:r>
        <w:r w:rsidRPr="00FA0E0B">
          <w:rPr>
            <w:rStyle w:val="Hyperlink"/>
            <w:sz w:val="20"/>
            <w:szCs w:val="20"/>
          </w:rPr>
          <w:t>-uns/urheberrechtsinformationen/urheberrechtliche-hinweise</w:t>
        </w:r>
      </w:hyperlink>
    </w:p>
    <w:sectPr w:rsidR="00B524E2" w:rsidRPr="00FA0E0B">
      <w:headerReference w:type="default" r:id="rId10"/>
      <w:footerReference w:type="default" r:id="rId11"/>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00410" w14:textId="77777777" w:rsidR="004432D0" w:rsidRDefault="004432D0">
      <w:pPr>
        <w:spacing w:line="240" w:lineRule="auto"/>
      </w:pPr>
      <w:r>
        <w:separator/>
      </w:r>
    </w:p>
  </w:endnote>
  <w:endnote w:type="continuationSeparator" w:id="0">
    <w:p w14:paraId="12A9CB93" w14:textId="77777777" w:rsidR="004432D0" w:rsidRDefault="00443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ayout w:type="fixed"/>
      <w:tblCellMar>
        <w:left w:w="10" w:type="dxa"/>
        <w:right w:w="10" w:type="dxa"/>
      </w:tblCellMar>
      <w:tblLook w:val="0000" w:firstRow="0" w:lastRow="0" w:firstColumn="0" w:lastColumn="0" w:noHBand="0" w:noVBand="0"/>
    </w:tblPr>
    <w:tblGrid>
      <w:gridCol w:w="2835"/>
      <w:gridCol w:w="5495"/>
      <w:gridCol w:w="882"/>
    </w:tblGrid>
    <w:tr w:rsidR="00DD031A" w14:paraId="7ED5AD91" w14:textId="77777777">
      <w:tblPrEx>
        <w:tblCellMar>
          <w:top w:w="0" w:type="dxa"/>
          <w:bottom w:w="0" w:type="dxa"/>
        </w:tblCellMar>
      </w:tblPrEx>
      <w:tc>
        <w:tcPr>
          <w:tcW w:w="2835" w:type="dxa"/>
          <w:tcMar>
            <w:top w:w="0" w:type="dxa"/>
            <w:left w:w="108" w:type="dxa"/>
            <w:bottom w:w="0" w:type="dxa"/>
            <w:right w:w="108" w:type="dxa"/>
          </w:tcMar>
          <w:vAlign w:val="center"/>
        </w:tcPr>
        <w:p w14:paraId="435246F8" w14:textId="77777777" w:rsidR="00DD031A" w:rsidRDefault="004432D0"/>
      </w:tc>
      <w:tc>
        <w:tcPr>
          <w:tcW w:w="5495" w:type="dxa"/>
          <w:tcMar>
            <w:top w:w="0" w:type="dxa"/>
            <w:left w:w="108" w:type="dxa"/>
            <w:bottom w:w="0" w:type="dxa"/>
            <w:right w:w="108" w:type="dxa"/>
          </w:tcMar>
        </w:tcPr>
        <w:p w14:paraId="46796A5D" w14:textId="77777777" w:rsidR="00DD031A" w:rsidRDefault="004432D0">
          <w:pPr>
            <w:pStyle w:val="Fuzeile"/>
            <w:spacing w:before="80"/>
            <w:jc w:val="center"/>
            <w:rPr>
              <w:sz w:val="20"/>
              <w:szCs w:val="20"/>
            </w:rPr>
          </w:pPr>
        </w:p>
      </w:tc>
      <w:tc>
        <w:tcPr>
          <w:tcW w:w="882" w:type="dxa"/>
          <w:noWrap/>
          <w:tcMar>
            <w:top w:w="0" w:type="dxa"/>
            <w:left w:w="57" w:type="dxa"/>
            <w:bottom w:w="0" w:type="dxa"/>
            <w:right w:w="57" w:type="dxa"/>
          </w:tcMar>
          <w:vAlign w:val="center"/>
        </w:tcPr>
        <w:p w14:paraId="3AF25C8F" w14:textId="77777777" w:rsidR="00DD031A" w:rsidRDefault="004432D0">
          <w:pPr>
            <w:rPr>
              <w:spacing w:val="9"/>
              <w:sz w:val="20"/>
              <w:szCs w:val="20"/>
            </w:rPr>
          </w:pPr>
        </w:p>
      </w:tc>
    </w:tr>
    <w:tr w:rsidR="00DD031A" w14:paraId="3E82F2E0" w14:textId="77777777">
      <w:tblPrEx>
        <w:tblCellMar>
          <w:top w:w="0" w:type="dxa"/>
          <w:bottom w:w="0" w:type="dxa"/>
        </w:tblCellMar>
      </w:tblPrEx>
      <w:tc>
        <w:tcPr>
          <w:tcW w:w="2835" w:type="dxa"/>
          <w:tcMar>
            <w:top w:w="0" w:type="dxa"/>
            <w:left w:w="108" w:type="dxa"/>
            <w:bottom w:w="0" w:type="dxa"/>
            <w:right w:w="108" w:type="dxa"/>
          </w:tcMar>
          <w:vAlign w:val="center"/>
        </w:tcPr>
        <w:p w14:paraId="667088C9" w14:textId="77777777" w:rsidR="00DD031A" w:rsidRDefault="004432D0">
          <w:hyperlink r:id="rId1" w:history="1">
            <w:r>
              <w:rPr>
                <w:rStyle w:val="Hyperlink"/>
                <w:sz w:val="20"/>
                <w:szCs w:val="20"/>
              </w:rPr>
              <w:t>www.medienbildung-bw.de</w:t>
            </w:r>
          </w:hyperlink>
        </w:p>
      </w:tc>
      <w:tc>
        <w:tcPr>
          <w:tcW w:w="5495" w:type="dxa"/>
          <w:tcMar>
            <w:top w:w="0" w:type="dxa"/>
            <w:left w:w="108" w:type="dxa"/>
            <w:bottom w:w="0" w:type="dxa"/>
            <w:right w:w="108" w:type="dxa"/>
          </w:tcMar>
        </w:tcPr>
        <w:p w14:paraId="063C83A1" w14:textId="77777777" w:rsidR="00DD031A" w:rsidRDefault="004432D0">
          <w:pPr>
            <w:pStyle w:val="Fuzeile"/>
            <w:spacing w:before="80"/>
            <w:jc w:val="center"/>
            <w:rPr>
              <w:sz w:val="20"/>
              <w:szCs w:val="20"/>
            </w:rPr>
          </w:pPr>
          <w:r>
            <w:rPr>
              <w:sz w:val="20"/>
              <w:szCs w:val="20"/>
            </w:rPr>
            <w:t>Landesbildungsserver Baden-Württemberg</w:t>
          </w:r>
          <w:r>
            <w:rPr>
              <w:sz w:val="20"/>
              <w:szCs w:val="20"/>
            </w:rPr>
            <w:br/>
          </w:r>
          <w:r>
            <w:rPr>
              <w:sz w:val="20"/>
              <w:szCs w:val="20"/>
            </w:rPr>
            <w:t>Medienportal</w:t>
          </w:r>
        </w:p>
      </w:tc>
      <w:tc>
        <w:tcPr>
          <w:tcW w:w="882" w:type="dxa"/>
          <w:noWrap/>
          <w:tcMar>
            <w:top w:w="0" w:type="dxa"/>
            <w:left w:w="57" w:type="dxa"/>
            <w:bottom w:w="0" w:type="dxa"/>
            <w:right w:w="57" w:type="dxa"/>
          </w:tcMar>
          <w:vAlign w:val="center"/>
        </w:tcPr>
        <w:p w14:paraId="5A926D96" w14:textId="77777777" w:rsidR="00DD031A" w:rsidRDefault="004432D0">
          <w:r>
            <w:rPr>
              <w:spacing w:val="9"/>
              <w:sz w:val="20"/>
              <w:szCs w:val="20"/>
            </w:rPr>
            <w:t xml:space="preserve">Seite </w:t>
          </w:r>
          <w:r>
            <w:rPr>
              <w:spacing w:val="9"/>
              <w:sz w:val="20"/>
              <w:szCs w:val="20"/>
            </w:rPr>
            <w:fldChar w:fldCharType="begin"/>
          </w:r>
          <w:r>
            <w:rPr>
              <w:spacing w:val="9"/>
              <w:sz w:val="20"/>
              <w:szCs w:val="20"/>
            </w:rPr>
            <w:instrText xml:space="preserve"> PAGE </w:instrText>
          </w:r>
          <w:r>
            <w:rPr>
              <w:spacing w:val="9"/>
              <w:sz w:val="20"/>
              <w:szCs w:val="20"/>
            </w:rPr>
            <w:fldChar w:fldCharType="separate"/>
          </w:r>
          <w:r>
            <w:rPr>
              <w:spacing w:val="9"/>
              <w:sz w:val="20"/>
              <w:szCs w:val="20"/>
            </w:rPr>
            <w:t>3</w:t>
          </w:r>
          <w:r>
            <w:rPr>
              <w:spacing w:val="9"/>
              <w:sz w:val="20"/>
              <w:szCs w:val="20"/>
            </w:rPr>
            <w:fldChar w:fldCharType="end"/>
          </w:r>
          <w:r>
            <w:rPr>
              <w:spacing w:val="7"/>
              <w:sz w:val="20"/>
              <w:szCs w:val="20"/>
            </w:rPr>
            <w:t xml:space="preserve"> </w:t>
          </w:r>
        </w:p>
      </w:tc>
    </w:tr>
  </w:tbl>
  <w:p w14:paraId="40AC5DFB" w14:textId="77777777" w:rsidR="00DD031A" w:rsidRDefault="004432D0">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78F5" w14:textId="77777777" w:rsidR="004432D0" w:rsidRDefault="004432D0">
      <w:pPr>
        <w:spacing w:line="240" w:lineRule="auto"/>
      </w:pPr>
      <w:r>
        <w:rPr>
          <w:color w:val="000000"/>
        </w:rPr>
        <w:separator/>
      </w:r>
    </w:p>
  </w:footnote>
  <w:footnote w:type="continuationSeparator" w:id="0">
    <w:p w14:paraId="3EAFB2DB" w14:textId="77777777" w:rsidR="004432D0" w:rsidRDefault="004432D0">
      <w:pPr>
        <w:spacing w:line="240" w:lineRule="auto"/>
      </w:pPr>
      <w:r>
        <w:continuationSeparator/>
      </w:r>
    </w:p>
  </w:footnote>
  <w:footnote w:id="1">
    <w:p w14:paraId="4499D0FA" w14:textId="77777777" w:rsidR="00B524E2" w:rsidRDefault="004432D0">
      <w:pPr>
        <w:pStyle w:val="Footnote"/>
        <w:spacing w:line="240" w:lineRule="auto"/>
      </w:pPr>
      <w:r>
        <w:rPr>
          <w:rStyle w:val="Funotenzeichen"/>
        </w:rPr>
        <w:footnoteRef/>
      </w:r>
      <w:r>
        <w:t xml:space="preserve">Verwendete Quellen: Wikipedia, Eichhörnchen: </w:t>
      </w:r>
      <w:hyperlink r:id="rId1" w:history="1">
        <w:r>
          <w:t>https://de.wikipedia.org/wiki/Eichhörnchen</w:t>
        </w:r>
      </w:hyperlink>
      <w:r>
        <w:t xml:space="preserve"> </w:t>
      </w:r>
      <w:r>
        <w:br/>
      </w:r>
      <w:r>
        <w:t xml:space="preserve">Wikipedia, Grauhörnchen: </w:t>
      </w:r>
      <w:hyperlink r:id="rId2" w:history="1">
        <w:r>
          <w:t>https://de.wikipedia.org/wiki/Grauhörnchen</w:t>
        </w:r>
      </w:hyperlink>
      <w:r>
        <w:br/>
      </w:r>
      <w:r>
        <w:t xml:space="preserve">Eichhörnchen schützen: </w:t>
      </w:r>
      <w:hyperlink r:id="rId3" w:history="1">
        <w:r>
          <w:t>https://www.eichhoernchen-schutz.de/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6" w:type="dxa"/>
      <w:tblLayout w:type="fixed"/>
      <w:tblCellMar>
        <w:left w:w="10" w:type="dxa"/>
        <w:right w:w="10" w:type="dxa"/>
      </w:tblCellMar>
      <w:tblLook w:val="0000" w:firstRow="0" w:lastRow="0" w:firstColumn="0" w:lastColumn="0" w:noHBand="0" w:noVBand="0"/>
    </w:tblPr>
    <w:tblGrid>
      <w:gridCol w:w="3051"/>
      <w:gridCol w:w="2052"/>
      <w:gridCol w:w="4053"/>
    </w:tblGrid>
    <w:tr w:rsidR="00DD031A" w14:paraId="3A293F37" w14:textId="77777777">
      <w:tblPrEx>
        <w:tblCellMar>
          <w:top w:w="0" w:type="dxa"/>
          <w:bottom w:w="0" w:type="dxa"/>
        </w:tblCellMar>
      </w:tblPrEx>
      <w:trPr>
        <w:trHeight w:val="738"/>
      </w:trPr>
      <w:tc>
        <w:tcPr>
          <w:tcW w:w="3051" w:type="dxa"/>
          <w:tcMar>
            <w:top w:w="0" w:type="dxa"/>
            <w:left w:w="0" w:type="dxa"/>
            <w:bottom w:w="0" w:type="dxa"/>
            <w:right w:w="0" w:type="dxa"/>
          </w:tcMar>
          <w:vAlign w:val="center"/>
        </w:tcPr>
        <w:p w14:paraId="03C8DEFA" w14:textId="77777777" w:rsidR="00DD031A" w:rsidRDefault="004432D0">
          <w:pPr>
            <w:pStyle w:val="TableContents"/>
            <w:spacing w:before="0" w:after="0" w:line="240" w:lineRule="auto"/>
          </w:pPr>
          <w:r>
            <w:rPr>
              <w:noProof/>
            </w:rPr>
            <w:drawing>
              <wp:anchor distT="0" distB="0" distL="114300" distR="114300" simplePos="0" relativeHeight="251659264" behindDoc="0" locked="0" layoutInCell="1" allowOverlap="1" wp14:anchorId="0E538567" wp14:editId="35316FC6">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a:noFill/>
                        <a:ln>
                          <a:noFill/>
                          <a:prstDash/>
                        </a:ln>
                      </pic:spPr>
                    </pic:pic>
                  </a:graphicData>
                </a:graphic>
              </wp:anchor>
            </w:drawing>
          </w:r>
        </w:p>
      </w:tc>
      <w:tc>
        <w:tcPr>
          <w:tcW w:w="2052" w:type="dxa"/>
          <w:tcMar>
            <w:top w:w="0" w:type="dxa"/>
            <w:left w:w="0" w:type="dxa"/>
            <w:bottom w:w="0" w:type="dxa"/>
            <w:right w:w="0" w:type="dxa"/>
          </w:tcMar>
          <w:vAlign w:val="center"/>
        </w:tcPr>
        <w:p w14:paraId="4C1ED6D1" w14:textId="77777777" w:rsidR="00DD031A" w:rsidRDefault="004432D0">
          <w:pPr>
            <w:pStyle w:val="TableContents"/>
            <w:spacing w:before="0" w:after="0" w:line="240" w:lineRule="auto"/>
          </w:pPr>
        </w:p>
      </w:tc>
      <w:tc>
        <w:tcPr>
          <w:tcW w:w="4053" w:type="dxa"/>
          <w:tcMar>
            <w:top w:w="0" w:type="dxa"/>
            <w:left w:w="0" w:type="dxa"/>
            <w:bottom w:w="0" w:type="dxa"/>
            <w:right w:w="0" w:type="dxa"/>
          </w:tcMar>
          <w:vAlign w:val="center"/>
        </w:tcPr>
        <w:p w14:paraId="5623E587" w14:textId="77777777" w:rsidR="00DD031A" w:rsidRDefault="004432D0">
          <w:pPr>
            <w:pStyle w:val="TableContents"/>
            <w:spacing w:before="0" w:after="0" w:line="240" w:lineRule="auto"/>
            <w:jc w:val="right"/>
            <w:rPr>
              <w:rFonts w:ascii="Arial Rounded MT Bold" w:hAnsi="Arial Rounded MT Bold"/>
            </w:rPr>
          </w:pPr>
          <w:r>
            <w:rPr>
              <w:rFonts w:ascii="Arial Rounded MT Bold" w:hAnsi="Arial Rounded MT Bold"/>
            </w:rPr>
            <w:t xml:space="preserve">Medienportal </w:t>
          </w:r>
          <w:r>
            <w:rPr>
              <w:rFonts w:ascii="Arial Rounded MT Bold" w:hAnsi="Arial Rounded MT Bold"/>
            </w:rPr>
            <w:br/>
          </w:r>
          <w:r>
            <w:rPr>
              <w:rFonts w:ascii="Arial Rounded MT Bold" w:hAnsi="Arial Rounded MT Bold"/>
            </w:rPr>
            <w:t>Zitierregeln</w:t>
          </w:r>
          <w:r>
            <w:rPr>
              <w:rFonts w:ascii="Arial Rounded MT Bold" w:hAnsi="Arial Rounded MT Bold"/>
            </w:rPr>
            <w:br/>
          </w:r>
        </w:p>
      </w:tc>
    </w:tr>
  </w:tbl>
  <w:p w14:paraId="5B6AEC48" w14:textId="77777777" w:rsidR="00DD031A" w:rsidRDefault="004432D0">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524E2"/>
    <w:rsid w:val="004432D0"/>
    <w:rsid w:val="006C306C"/>
    <w:rsid w:val="009514F2"/>
    <w:rsid w:val="00B524E2"/>
    <w:rsid w:val="00FA0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134A"/>
  <w15:docId w15:val="{A4B988F1-AA1B-4847-B2BE-92C8ABF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pPr>
    <w:rPr>
      <w:rFonts w:ascii="Arial" w:eastAsia="Arial" w:hAnsi="Arial" w:cs="Arial"/>
      <w:sz w:val="22"/>
      <w:szCs w:val="22"/>
      <w:lang w:eastAsia="en-US"/>
    </w:rPr>
  </w:style>
  <w:style w:type="paragraph" w:styleId="berschrift1">
    <w:name w:val="heading 1"/>
    <w:basedOn w:val="Standard"/>
    <w:next w:val="Standard"/>
    <w:link w:val="berschrift1Zchn"/>
    <w:uiPriority w:val="9"/>
    <w:qFormat/>
    <w:rsid w:val="00FA0E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unhideWhenUsed/>
    <w:qFormat/>
    <w:pPr>
      <w:keepNext/>
      <w:keepLines/>
      <w:spacing w:before="200"/>
      <w:outlineLvl w:val="1"/>
    </w:pPr>
    <w:rPr>
      <w:rFonts w:eastAsia="Times New Roman"/>
      <w:b/>
      <w:bCs/>
      <w:sz w:val="24"/>
      <w:szCs w:val="24"/>
    </w:rPr>
  </w:style>
  <w:style w:type="paragraph" w:styleId="berschrift3">
    <w:name w:val="heading 3"/>
    <w:basedOn w:val="Standard"/>
    <w:uiPriority w:val="9"/>
    <w:unhideWhenUsed/>
    <w:qFormat/>
    <w:pPr>
      <w:spacing w:before="100" w:after="100"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uiPriority w:val="9"/>
    <w:semiHidden/>
    <w:unhideWhenUsed/>
    <w:qFormat/>
    <w:pPr>
      <w:spacing w:before="100" w:after="100"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customStyle="1" w:styleId="standard-lbs">
    <w:name w:val="standard-lbs"/>
    <w:basedOn w:val="Standard"/>
    <w:pPr>
      <w:spacing w:before="200" w:after="200"/>
    </w:pPr>
  </w:style>
  <w:style w:type="paragraph" w:customStyle="1" w:styleId="Vokabelangabe-lbs">
    <w:name w:val="Vokabelangabe-lbs"/>
    <w:basedOn w:val="Standard"/>
    <w:pPr>
      <w:spacing w:line="312" w:lineRule="auto"/>
      <w:ind w:left="284" w:hanging="284"/>
    </w:pPr>
    <w:rPr>
      <w:sz w:val="20"/>
    </w:rPr>
  </w:style>
  <w:style w:type="paragraph" w:customStyle="1" w:styleId="berschrift-lbs">
    <w:name w:val="Überschrift-lbs"/>
    <w:basedOn w:val="berschrift2"/>
    <w:pPr>
      <w:spacing w:before="0" w:after="200" w:line="276" w:lineRule="auto"/>
    </w:pPr>
    <w:rPr>
      <w:color w:val="2DA2BF"/>
    </w:rPr>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spacing w:line="240" w:lineRule="auto"/>
    </w:pPr>
  </w:style>
  <w:style w:type="paragraph" w:styleId="Sprechblasentext">
    <w:name w:val="Balloon Text"/>
    <w:basedOn w:val="Standard"/>
    <w:pPr>
      <w:spacing w:line="240" w:lineRule="auto"/>
    </w:pPr>
    <w:rPr>
      <w:rFonts w:ascii="Tahoma" w:eastAsia="Tahoma" w:hAnsi="Tahoma" w:cs="Tahoma"/>
      <w:sz w:val="16"/>
      <w:szCs w:val="16"/>
    </w:rPr>
  </w:style>
  <w:style w:type="paragraph" w:customStyle="1" w:styleId="tabelleninhalt-uebersetzung">
    <w:name w:val="tabelleninhalt-uebersetzung"/>
    <w:basedOn w:val="Standard"/>
    <w:autoRedefine/>
    <w:rPr>
      <w:lang/>
    </w:rPr>
  </w:style>
  <w:style w:type="paragraph" w:customStyle="1" w:styleId="TableContents">
    <w:name w:val="Table Contents"/>
    <w:basedOn w:val="Standard"/>
    <w:pPr>
      <w:suppressLineNumbers/>
      <w:spacing w:before="240" w:after="120" w:line="256" w:lineRule="auto"/>
    </w:pPr>
    <w:rPr>
      <w:rFonts w:eastAsia="Times New Roman"/>
      <w:lang w:eastAsia="zh-CN" w:bidi="hi-IN"/>
    </w:rPr>
  </w:style>
  <w:style w:type="paragraph" w:customStyle="1" w:styleId="zitat-lbs">
    <w:name w:val="zitat-lbs"/>
    <w:basedOn w:val="Standard"/>
    <w:pPr>
      <w:ind w:left="708"/>
      <w:jc w:val="both"/>
    </w:pPr>
    <w:rPr>
      <w:sz w:val="20"/>
      <w:szCs w:val="20"/>
      <w:lang w:eastAsia="de-DE"/>
    </w:rPr>
  </w:style>
  <w:style w:type="paragraph" w:styleId="StandardWeb">
    <w:name w:val="Normal (Web)"/>
    <w:basedOn w:val="Standard"/>
    <w:pPr>
      <w:spacing w:before="100" w:after="100" w:line="240" w:lineRule="auto"/>
    </w:pPr>
    <w:rPr>
      <w:rFonts w:ascii="Times New Roman" w:eastAsia="Times New Roman" w:hAnsi="Times New Roman" w:cs="Times New Roman"/>
      <w:sz w:val="24"/>
      <w:szCs w:val="24"/>
      <w:lang w:eastAsia="de-DE"/>
    </w:rPr>
  </w:style>
  <w:style w:type="paragraph" w:styleId="Funotentext">
    <w:name w:val="footnote text"/>
    <w:basedOn w:val="Standard"/>
    <w:rPr>
      <w:sz w:val="20"/>
      <w:szCs w:val="20"/>
    </w:r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339" w:hanging="339"/>
    </w:pPr>
    <w:rPr>
      <w:sz w:val="20"/>
      <w:szCs w:val="20"/>
    </w:rPr>
  </w:style>
  <w:style w:type="character" w:customStyle="1" w:styleId="standard-lbsZchn">
    <w:name w:val="standard-lbs Zchn"/>
    <w:rPr>
      <w:rFonts w:ascii="Arial" w:eastAsia="Arial" w:hAnsi="Arial" w:cs="Arial"/>
    </w:rPr>
  </w:style>
  <w:style w:type="character" w:customStyle="1" w:styleId="Vokabelangabe-lbsZchn">
    <w:name w:val="Vokabelangabe-lbs Zchn"/>
    <w:rPr>
      <w:rFonts w:ascii="Arial" w:eastAsia="Calibri" w:hAnsi="Arial" w:cs="Arial"/>
      <w:sz w:val="20"/>
    </w:rPr>
  </w:style>
  <w:style w:type="character" w:customStyle="1" w:styleId="berschrift-lbsZchn">
    <w:name w:val="Überschrift-lbs Zchn"/>
    <w:rPr>
      <w:rFonts w:ascii="Arial" w:eastAsia="Times New Roman" w:hAnsi="Arial" w:cs="Arial"/>
      <w:b/>
      <w:bCs/>
      <w:color w:val="2DA2BF"/>
      <w:sz w:val="26"/>
      <w:szCs w:val="26"/>
    </w:rPr>
  </w:style>
  <w:style w:type="character" w:customStyle="1" w:styleId="berschrift2Zchn">
    <w:name w:val="Überschrift 2 Zchn"/>
    <w:rPr>
      <w:rFonts w:ascii="Arial" w:eastAsia="Times New Roman" w:hAnsi="Arial" w:cs="Arial"/>
      <w:b/>
      <w:bCs/>
      <w:sz w:val="24"/>
      <w:szCs w:val="24"/>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Hyperlink">
    <w:name w:val="Hyperlink"/>
    <w:rPr>
      <w:color w:val="0000FF"/>
      <w:u w:val="single"/>
    </w:rPr>
  </w:style>
  <w:style w:type="character" w:customStyle="1" w:styleId="SprechblasentextZchn">
    <w:name w:val="Sprechblasentext Zchn"/>
    <w:rPr>
      <w:rFonts w:ascii="Tahoma" w:eastAsia="Tahoma" w:hAnsi="Tahoma" w:cs="Tahoma"/>
      <w:sz w:val="16"/>
      <w:szCs w:val="16"/>
    </w:rPr>
  </w:style>
  <w:style w:type="character" w:customStyle="1" w:styleId="tabelleninhalt-uebersetzungZchn">
    <w:name w:val="tabelleninhalt-uebersetzung Zchn"/>
    <w:rPr>
      <w:rFonts w:ascii="Arial" w:eastAsia="Arial" w:hAnsi="Arial" w:cs="Arial"/>
      <w:lang/>
    </w:rPr>
  </w:style>
  <w:style w:type="character" w:customStyle="1" w:styleId="TabelleninhaltZchn">
    <w:name w:val="Tabelleninhalt Zchn"/>
    <w:rPr>
      <w:rFonts w:ascii="Arial" w:eastAsia="Arial" w:hAnsi="Arial" w:cs="Arial"/>
      <w:lang/>
    </w:rPr>
  </w:style>
  <w:style w:type="character" w:customStyle="1" w:styleId="zitat-lbsZchn">
    <w:name w:val="zitat-lbs Zchn"/>
    <w:rPr>
      <w:rFonts w:ascii="Arial" w:eastAsia="Arial" w:hAnsi="Arial" w:cs="Arial"/>
    </w:rPr>
  </w:style>
  <w:style w:type="character" w:customStyle="1" w:styleId="berschrift3Zchn">
    <w:name w:val="Überschrift 3 Zchn"/>
    <w:rPr>
      <w:rFonts w:ascii="Times New Roman" w:eastAsia="Times New Roman" w:hAnsi="Times New Roman" w:cs="Times New Roman"/>
      <w:b/>
      <w:bCs/>
      <w:sz w:val="27"/>
      <w:szCs w:val="27"/>
    </w:rPr>
  </w:style>
  <w:style w:type="character" w:customStyle="1" w:styleId="berschrift4Zchn">
    <w:name w:val="Überschrift 4 Zchn"/>
    <w:rPr>
      <w:rFonts w:ascii="Times New Roman" w:eastAsia="Times New Roman" w:hAnsi="Times New Roman" w:cs="Times New Roman"/>
      <w:b/>
      <w:bCs/>
      <w:sz w:val="24"/>
      <w:szCs w:val="24"/>
    </w:rPr>
  </w:style>
  <w:style w:type="character" w:styleId="Fett">
    <w:name w:val="Strong"/>
    <w:rPr>
      <w:b/>
      <w:bCs/>
    </w:rPr>
  </w:style>
  <w:style w:type="character" w:styleId="Hervorhebung">
    <w:name w:val="Emphasis"/>
    <w:rPr>
      <w:i/>
      <w:iCs/>
    </w:rPr>
  </w:style>
  <w:style w:type="character" w:customStyle="1" w:styleId="link-https">
    <w:name w:val="link-https"/>
  </w:style>
  <w:style w:type="character" w:customStyle="1" w:styleId="FunotentextZchn">
    <w:name w:val="Fußnotentext Zchn"/>
    <w:rPr>
      <w:rFonts w:ascii="Arial" w:eastAsia="Arial" w:hAnsi="Arial" w:cs="Arial"/>
      <w:lang w:eastAsia="en-US"/>
    </w:rPr>
  </w:style>
  <w:style w:type="character" w:customStyle="1" w:styleId="FootnoteSymbol">
    <w:name w:val="Footnote Symbol"/>
    <w:rPr>
      <w:position w:val="0"/>
      <w:vertAlign w:val="superscript"/>
    </w:rPr>
  </w:style>
  <w:style w:type="character" w:customStyle="1" w:styleId="berschrift1Zchn">
    <w:name w:val="Überschrift 1 Zchn"/>
    <w:basedOn w:val="Absatz-Standardschriftart"/>
    <w:link w:val="berschrift1"/>
    <w:uiPriority w:val="9"/>
    <w:rsid w:val="00FA0E0B"/>
    <w:rPr>
      <w:rFonts w:asciiTheme="majorHAnsi" w:eastAsiaTheme="majorEastAsia" w:hAnsiTheme="majorHAnsi" w:cstheme="majorBidi"/>
      <w:color w:val="2F5496" w:themeColor="accent1" w:themeShade="BF"/>
      <w:sz w:val="32"/>
      <w:szCs w:val="32"/>
      <w:lang w:eastAsia="en-US"/>
    </w:rPr>
  </w:style>
  <w:style w:type="character" w:customStyle="1" w:styleId="Internetlink">
    <w:name w:val="Internet link"/>
    <w:rPr>
      <w:color w:val="000080"/>
      <w:u w:val="single"/>
      <w:lang/>
    </w:rPr>
  </w:style>
  <w:style w:type="character" w:customStyle="1" w:styleId="StrongEmphasis">
    <w:name w:val="Strong Emphasis"/>
    <w:rPr>
      <w:b/>
      <w:bCs/>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hule-bw.de/themen-und-impulse/medienbildung/lernmaterial/zitierregeln/zitierregeln-und-beispiele/beispieltext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hule-bw.de/ueber-uns/urheberrechtsinformationen/urheberrechtliche-hinwei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Julius_R._Haarhau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chule-bw.de/ueber-uns/urheberrechtsinformationen/urheberrechtliche-hinwe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themen-und-impulse/medienbildung/lernmaterial/zitierregel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ichhoernchen-schutz.de/" TargetMode="External"/><Relationship Id="rId2" Type="http://schemas.openxmlformats.org/officeDocument/2006/relationships/hyperlink" Target="https://de.wikipedia.org/wiki/Grauh&#246;rnchen" TargetMode="External"/><Relationship Id="rId1" Type="http://schemas.openxmlformats.org/officeDocument/2006/relationships/hyperlink" Target="https://de.wikipedia.org/wiki/Eichh&#246;rnch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5633</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 Bechthold-Hengelhaupt</dc:creator>
  <cp:lastModifiedBy>Tilman Bechthold-Hengelhaupt</cp:lastModifiedBy>
  <cp:revision>4</cp:revision>
  <dcterms:created xsi:type="dcterms:W3CDTF">2020-01-05T12:27:00Z</dcterms:created>
  <dcterms:modified xsi:type="dcterms:W3CDTF">2020-01-05T12:32:00Z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