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B7" w:rsidRPr="00BE2724" w:rsidRDefault="00DC0EB7" w:rsidP="008A68E4">
      <w:pPr>
        <w:spacing w:after="0" w:line="240" w:lineRule="auto"/>
        <w:rPr>
          <w:rFonts w:ascii="Verdana" w:hAnsi="Verdana"/>
          <w:b/>
          <w:sz w:val="20"/>
          <w:szCs w:val="20"/>
          <w:u w:val="single"/>
        </w:rPr>
      </w:pPr>
      <w:r w:rsidRPr="00BE2724">
        <w:rPr>
          <w:rFonts w:ascii="Verdana" w:hAnsi="Verdana"/>
          <w:b/>
          <w:sz w:val="20"/>
          <w:szCs w:val="20"/>
          <w:u w:val="single"/>
        </w:rPr>
        <w:t>Arbeitsblatt: Die sinkende Geburtenziff</w:t>
      </w:r>
      <w:r w:rsidR="00BE2724">
        <w:rPr>
          <w:rFonts w:ascii="Verdana" w:hAnsi="Verdana"/>
          <w:b/>
          <w:sz w:val="20"/>
          <w:szCs w:val="20"/>
          <w:u w:val="single"/>
        </w:rPr>
        <w:t xml:space="preserve">er </w:t>
      </w:r>
    </w:p>
    <w:p w:rsidR="00DC0EB7" w:rsidRDefault="00DC0EB7" w:rsidP="008A68E4">
      <w:pPr>
        <w:spacing w:after="0" w:line="240" w:lineRule="auto"/>
        <w:rPr>
          <w:rFonts w:ascii="Verdana" w:hAnsi="Verdana"/>
          <w:sz w:val="20"/>
          <w:szCs w:val="20"/>
        </w:rPr>
      </w:pPr>
    </w:p>
    <w:p w:rsidR="00DC0EB7" w:rsidRPr="00BE2724" w:rsidRDefault="00DC0EB7" w:rsidP="008A68E4">
      <w:pPr>
        <w:spacing w:after="0" w:line="240" w:lineRule="auto"/>
        <w:rPr>
          <w:rFonts w:ascii="Verdana" w:hAnsi="Verdana"/>
          <w:i/>
          <w:sz w:val="20"/>
          <w:szCs w:val="20"/>
        </w:rPr>
      </w:pPr>
      <w:r w:rsidRPr="00BE2724">
        <w:rPr>
          <w:rFonts w:ascii="Verdana" w:hAnsi="Verdana"/>
          <w:i/>
          <w:sz w:val="20"/>
          <w:szCs w:val="20"/>
        </w:rPr>
        <w:sym w:font="Wingdings" w:char="F031"/>
      </w:r>
    </w:p>
    <w:p w:rsidR="00DC0EB7" w:rsidRPr="00BE2724" w:rsidRDefault="00DC0EB7" w:rsidP="00DC0EB7">
      <w:pPr>
        <w:pStyle w:val="Listenabsatz"/>
        <w:numPr>
          <w:ilvl w:val="0"/>
          <w:numId w:val="3"/>
        </w:numPr>
        <w:spacing w:after="0" w:line="240" w:lineRule="auto"/>
        <w:rPr>
          <w:rFonts w:ascii="Verdana" w:hAnsi="Verdana"/>
          <w:i/>
          <w:sz w:val="20"/>
          <w:szCs w:val="20"/>
        </w:rPr>
      </w:pPr>
      <w:r w:rsidRPr="00BE2724">
        <w:rPr>
          <w:rFonts w:ascii="Verdana" w:hAnsi="Verdana"/>
          <w:i/>
          <w:sz w:val="20"/>
          <w:szCs w:val="20"/>
        </w:rPr>
        <w:t xml:space="preserve">Arbeiten Sie aus dem Artikel des Statistischen Bundesamtes die Gründe für den Geburtenrückgang heraus. </w:t>
      </w:r>
    </w:p>
    <w:p w:rsidR="00DC0EB7" w:rsidRPr="00BE2724" w:rsidRDefault="00DC0EB7" w:rsidP="00DC0EB7">
      <w:pPr>
        <w:pStyle w:val="Listenabsatz"/>
        <w:numPr>
          <w:ilvl w:val="0"/>
          <w:numId w:val="3"/>
        </w:numPr>
        <w:spacing w:after="0" w:line="240" w:lineRule="auto"/>
        <w:rPr>
          <w:rFonts w:ascii="Verdana" w:hAnsi="Verdana"/>
          <w:i/>
          <w:sz w:val="20"/>
          <w:szCs w:val="20"/>
        </w:rPr>
      </w:pPr>
      <w:r w:rsidRPr="00BE2724">
        <w:rPr>
          <w:rFonts w:ascii="Verdana" w:hAnsi="Verdana"/>
          <w:i/>
          <w:sz w:val="20"/>
          <w:szCs w:val="20"/>
        </w:rPr>
        <w:t>Was ist Ihrer Meinung nach noch ursächlich für den Rückgang der Geburtenziffer?</w:t>
      </w:r>
    </w:p>
    <w:p w:rsidR="00DC0EB7" w:rsidRPr="00BE2724" w:rsidRDefault="00DC0EB7" w:rsidP="008A68E4">
      <w:pPr>
        <w:spacing w:after="0" w:line="240" w:lineRule="auto"/>
        <w:rPr>
          <w:rFonts w:ascii="Verdana" w:hAnsi="Verdana"/>
          <w:i/>
          <w:sz w:val="20"/>
          <w:szCs w:val="20"/>
        </w:rPr>
      </w:pPr>
    </w:p>
    <w:p w:rsidR="00592304" w:rsidRDefault="00592304" w:rsidP="008A68E4">
      <w:pPr>
        <w:spacing w:after="0" w:line="240" w:lineRule="auto"/>
        <w:rPr>
          <w:rFonts w:ascii="Verdana" w:hAnsi="Verdana"/>
          <w:sz w:val="20"/>
          <w:szCs w:val="20"/>
        </w:rPr>
      </w:pPr>
    </w:p>
    <w:p w:rsidR="008A68E4" w:rsidRPr="008906AA" w:rsidRDefault="008A68E4" w:rsidP="008A68E4">
      <w:pPr>
        <w:spacing w:after="0" w:line="240" w:lineRule="auto"/>
        <w:rPr>
          <w:rFonts w:ascii="Verdana" w:hAnsi="Verdana"/>
          <w:b/>
          <w:sz w:val="20"/>
          <w:szCs w:val="20"/>
        </w:rPr>
      </w:pPr>
      <w:r w:rsidRPr="008906AA">
        <w:rPr>
          <w:rFonts w:ascii="Verdana" w:hAnsi="Verdana"/>
          <w:b/>
          <w:sz w:val="20"/>
          <w:szCs w:val="20"/>
        </w:rPr>
        <w:t>M1</w:t>
      </w:r>
      <w:r w:rsidR="008906AA" w:rsidRPr="008906AA">
        <w:rPr>
          <w:rFonts w:ascii="Verdana" w:hAnsi="Verdana"/>
          <w:b/>
          <w:sz w:val="20"/>
          <w:szCs w:val="20"/>
        </w:rPr>
        <w:t xml:space="preserve"> Geburtenziffer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CA29BF" w:rsidRPr="008906AA" w:rsidTr="00BE2724">
        <w:tc>
          <w:tcPr>
            <w:tcW w:w="534" w:type="dxa"/>
          </w:tcPr>
          <w:p w:rsidR="00CA29BF" w:rsidRDefault="008906AA" w:rsidP="008A68E4">
            <w:pPr>
              <w:rPr>
                <w:rFonts w:ascii="Verdana" w:hAnsi="Verdana"/>
                <w:sz w:val="20"/>
                <w:szCs w:val="20"/>
              </w:rPr>
            </w:pPr>
            <w:r>
              <w:rPr>
                <w:rFonts w:ascii="Verdana" w:hAnsi="Verdana"/>
                <w:sz w:val="20"/>
                <w:szCs w:val="20"/>
              </w:rPr>
              <w:t>1</w:t>
            </w:r>
          </w:p>
          <w:p w:rsidR="008906AA" w:rsidRDefault="008906AA" w:rsidP="008A68E4">
            <w:pPr>
              <w:rPr>
                <w:rFonts w:ascii="Verdana" w:hAnsi="Verdana"/>
                <w:sz w:val="20"/>
                <w:szCs w:val="20"/>
              </w:rPr>
            </w:pPr>
          </w:p>
          <w:p w:rsidR="008906AA" w:rsidRDefault="008906AA" w:rsidP="008A68E4">
            <w:pPr>
              <w:rPr>
                <w:rFonts w:ascii="Verdana" w:hAnsi="Verdana"/>
                <w:sz w:val="20"/>
                <w:szCs w:val="20"/>
              </w:rPr>
            </w:pPr>
          </w:p>
          <w:p w:rsidR="008906AA" w:rsidRDefault="008906AA" w:rsidP="008A68E4">
            <w:pPr>
              <w:rPr>
                <w:rFonts w:ascii="Verdana" w:hAnsi="Verdana"/>
                <w:sz w:val="20"/>
                <w:szCs w:val="20"/>
              </w:rPr>
            </w:pPr>
          </w:p>
          <w:p w:rsidR="008906AA" w:rsidRDefault="008906AA" w:rsidP="008A68E4">
            <w:pPr>
              <w:rPr>
                <w:rFonts w:ascii="Verdana" w:hAnsi="Verdana"/>
                <w:sz w:val="20"/>
                <w:szCs w:val="20"/>
              </w:rPr>
            </w:pPr>
            <w:r>
              <w:rPr>
                <w:rFonts w:ascii="Verdana" w:hAnsi="Verdana"/>
                <w:sz w:val="20"/>
                <w:szCs w:val="20"/>
              </w:rPr>
              <w:t>5</w:t>
            </w:r>
          </w:p>
          <w:p w:rsidR="008906AA" w:rsidRDefault="008906AA" w:rsidP="008A68E4">
            <w:pPr>
              <w:rPr>
                <w:rFonts w:ascii="Verdana" w:hAnsi="Verdana"/>
                <w:sz w:val="20"/>
                <w:szCs w:val="20"/>
              </w:rPr>
            </w:pPr>
          </w:p>
          <w:p w:rsidR="008906AA" w:rsidRDefault="008906AA" w:rsidP="008A68E4">
            <w:pPr>
              <w:rPr>
                <w:rFonts w:ascii="Verdana" w:hAnsi="Verdana"/>
                <w:sz w:val="20"/>
                <w:szCs w:val="20"/>
              </w:rPr>
            </w:pPr>
          </w:p>
          <w:p w:rsidR="008906AA" w:rsidRDefault="008906AA" w:rsidP="008A68E4">
            <w:pPr>
              <w:rPr>
                <w:rFonts w:ascii="Verdana" w:hAnsi="Verdana"/>
                <w:sz w:val="20"/>
                <w:szCs w:val="20"/>
              </w:rPr>
            </w:pPr>
          </w:p>
          <w:p w:rsidR="008906AA" w:rsidRDefault="008906AA" w:rsidP="008A68E4">
            <w:pPr>
              <w:rPr>
                <w:rFonts w:ascii="Verdana" w:hAnsi="Verdana"/>
                <w:sz w:val="20"/>
                <w:szCs w:val="20"/>
              </w:rPr>
            </w:pPr>
          </w:p>
          <w:p w:rsidR="008906AA" w:rsidRPr="008906AA" w:rsidRDefault="008906AA" w:rsidP="008A68E4">
            <w:pPr>
              <w:rPr>
                <w:rFonts w:ascii="Verdana" w:hAnsi="Verdana"/>
                <w:sz w:val="20"/>
                <w:szCs w:val="20"/>
              </w:rPr>
            </w:pPr>
            <w:r>
              <w:rPr>
                <w:rFonts w:ascii="Verdana" w:hAnsi="Verdana"/>
                <w:sz w:val="20"/>
                <w:szCs w:val="20"/>
              </w:rPr>
              <w:t>10</w:t>
            </w:r>
          </w:p>
        </w:tc>
        <w:tc>
          <w:tcPr>
            <w:tcW w:w="8678" w:type="dxa"/>
          </w:tcPr>
          <w:p w:rsidR="00CA29BF" w:rsidRPr="008906AA" w:rsidRDefault="00CA29BF" w:rsidP="00CA29BF">
            <w:pPr>
              <w:rPr>
                <w:rFonts w:ascii="Verdana" w:hAnsi="Verdana"/>
                <w:sz w:val="20"/>
                <w:szCs w:val="20"/>
              </w:rPr>
            </w:pPr>
            <w:r w:rsidRPr="008906AA">
              <w:rPr>
                <w:rFonts w:ascii="Verdana" w:hAnsi="Verdana"/>
                <w:bCs/>
                <w:sz w:val="20"/>
                <w:szCs w:val="20"/>
              </w:rPr>
              <w:t>Der Begriff „Geburtenziffer“</w:t>
            </w:r>
            <w:r w:rsidRPr="008906AA">
              <w:rPr>
                <w:rFonts w:ascii="Verdana" w:hAnsi="Verdana"/>
                <w:sz w:val="20"/>
                <w:szCs w:val="20"/>
              </w:rPr>
              <w:t xml:space="preserve"> ist ein Fachausdruck der Demografie und bezieht sich auf die Lebendgeborenen pro Jahr, bezogen auf 1000 Einwohner. </w:t>
            </w:r>
            <w:r w:rsidR="002677FF" w:rsidRPr="008906AA">
              <w:rPr>
                <w:rFonts w:ascii="Verdana" w:hAnsi="Verdana"/>
                <w:sz w:val="20"/>
                <w:szCs w:val="20"/>
              </w:rPr>
              <w:t>Sie wird wie folgt ausgerechnet:</w:t>
            </w:r>
          </w:p>
          <w:p w:rsidR="00CA29BF" w:rsidRPr="008906AA" w:rsidRDefault="00CA29BF" w:rsidP="008906AA">
            <w:pPr>
              <w:jc w:val="center"/>
              <w:rPr>
                <w:rFonts w:ascii="Verdana" w:hAnsi="Verdana"/>
                <w:sz w:val="20"/>
                <w:szCs w:val="20"/>
              </w:rPr>
            </w:pPr>
            <w:r w:rsidRPr="008906AA">
              <w:rPr>
                <w:rFonts w:ascii="Verdana" w:hAnsi="Verdana"/>
                <w:sz w:val="20"/>
                <w:szCs w:val="20"/>
              </w:rPr>
              <w:t xml:space="preserve">1000 x </w:t>
            </w:r>
            <m:oMath>
              <m:f>
                <m:fPr>
                  <m:ctrlPr>
                    <w:rPr>
                      <w:rFonts w:ascii="Cambria Math" w:hAnsi="Cambria Math"/>
                      <w:i/>
                      <w:sz w:val="20"/>
                      <w:szCs w:val="20"/>
                    </w:rPr>
                  </m:ctrlPr>
                </m:fPr>
                <m:num>
                  <m:r>
                    <w:rPr>
                      <w:rFonts w:ascii="Cambria Math" w:hAnsi="Cambria Math"/>
                      <w:sz w:val="20"/>
                      <w:szCs w:val="20"/>
                    </w:rPr>
                    <m:t>Lg</m:t>
                  </m:r>
                </m:num>
                <m:den>
                  <m:r>
                    <w:rPr>
                      <w:rFonts w:ascii="Cambria Math" w:hAnsi="Cambria Math"/>
                      <w:sz w:val="20"/>
                      <w:szCs w:val="20"/>
                    </w:rPr>
                    <m:t>Ew</m:t>
                  </m:r>
                </m:den>
              </m:f>
            </m:oMath>
          </w:p>
          <w:p w:rsidR="00CA29BF" w:rsidRPr="008906AA" w:rsidRDefault="002677FF" w:rsidP="00CA29BF">
            <w:pPr>
              <w:rPr>
                <w:rFonts w:ascii="Verdana" w:hAnsi="Verdana"/>
                <w:sz w:val="20"/>
                <w:szCs w:val="20"/>
              </w:rPr>
            </w:pPr>
            <w:r w:rsidRPr="008906AA">
              <w:rPr>
                <w:rFonts w:ascii="Verdana" w:hAnsi="Verdana"/>
                <w:sz w:val="20"/>
                <w:szCs w:val="20"/>
              </w:rPr>
              <w:t>„</w:t>
            </w:r>
            <w:proofErr w:type="spellStart"/>
            <w:r w:rsidRPr="008906AA">
              <w:rPr>
                <w:rFonts w:ascii="Verdana" w:hAnsi="Verdana"/>
                <w:sz w:val="20"/>
                <w:szCs w:val="20"/>
              </w:rPr>
              <w:t>Lg</w:t>
            </w:r>
            <w:proofErr w:type="spellEnd"/>
            <w:r w:rsidRPr="008906AA">
              <w:rPr>
                <w:rFonts w:ascii="Verdana" w:hAnsi="Verdana"/>
                <w:sz w:val="20"/>
                <w:szCs w:val="20"/>
              </w:rPr>
              <w:t>“ sind dabei die Lebendgeborenen pro Jahr, „</w:t>
            </w:r>
            <w:proofErr w:type="spellStart"/>
            <w:r w:rsidRPr="008906AA">
              <w:rPr>
                <w:rFonts w:ascii="Verdana" w:hAnsi="Verdana"/>
                <w:sz w:val="20"/>
                <w:szCs w:val="20"/>
              </w:rPr>
              <w:t>Ew</w:t>
            </w:r>
            <w:proofErr w:type="spellEnd"/>
            <w:r w:rsidRPr="008906AA">
              <w:rPr>
                <w:rFonts w:ascii="Verdana" w:hAnsi="Verdana"/>
                <w:sz w:val="20"/>
                <w:szCs w:val="20"/>
              </w:rPr>
              <w:t>“ die Einwohner im Jahresmittel.</w:t>
            </w:r>
          </w:p>
          <w:p w:rsidR="002677FF" w:rsidRPr="008906AA" w:rsidRDefault="002677FF" w:rsidP="00CA29BF">
            <w:pPr>
              <w:rPr>
                <w:rFonts w:ascii="Verdana" w:hAnsi="Verdana"/>
                <w:sz w:val="20"/>
                <w:szCs w:val="20"/>
              </w:rPr>
            </w:pPr>
            <w:r w:rsidRPr="008906AA">
              <w:rPr>
                <w:rFonts w:ascii="Verdana" w:hAnsi="Verdana"/>
                <w:sz w:val="20"/>
                <w:szCs w:val="20"/>
              </w:rPr>
              <w:t xml:space="preserve">2014 stieg die Geburtenziffer zum dritten Mail in Folge an, lag bei 1,47 </w:t>
            </w:r>
            <w:proofErr w:type="gramStart"/>
            <w:r w:rsidRPr="008906AA">
              <w:rPr>
                <w:rFonts w:ascii="Verdana" w:hAnsi="Verdana"/>
                <w:sz w:val="20"/>
                <w:szCs w:val="20"/>
              </w:rPr>
              <w:t>Kinder</w:t>
            </w:r>
            <w:proofErr w:type="gramEnd"/>
            <w:r w:rsidRPr="008906AA">
              <w:rPr>
                <w:rFonts w:ascii="Verdana" w:hAnsi="Verdana"/>
                <w:sz w:val="20"/>
                <w:szCs w:val="20"/>
              </w:rPr>
              <w:t xml:space="preserve"> je Frau, und war nach Angaben des Statistischen Bundesamtes (</w:t>
            </w:r>
            <w:proofErr w:type="spellStart"/>
            <w:r w:rsidRPr="008906AA">
              <w:rPr>
                <w:rFonts w:ascii="Verdana" w:hAnsi="Verdana"/>
                <w:sz w:val="20"/>
                <w:szCs w:val="20"/>
              </w:rPr>
              <w:t>Destatis</w:t>
            </w:r>
            <w:proofErr w:type="spellEnd"/>
            <w:r w:rsidRPr="008906AA">
              <w:rPr>
                <w:rFonts w:ascii="Verdana" w:hAnsi="Verdana"/>
                <w:sz w:val="20"/>
                <w:szCs w:val="20"/>
              </w:rPr>
              <w:t>)  seit der Wiedervereinigung der höchste Wert in Deutschland</w:t>
            </w:r>
            <w:r w:rsidRPr="008906AA">
              <w:rPr>
                <w:rStyle w:val="Funotenzeichen"/>
                <w:rFonts w:ascii="Verdana" w:hAnsi="Verdana"/>
                <w:sz w:val="20"/>
                <w:szCs w:val="20"/>
              </w:rPr>
              <w:footnoteReference w:id="1"/>
            </w:r>
            <w:r w:rsidRPr="008906AA">
              <w:rPr>
                <w:rFonts w:ascii="Verdana" w:hAnsi="Verdana"/>
                <w:sz w:val="20"/>
                <w:szCs w:val="20"/>
              </w:rPr>
              <w:t xml:space="preserve">. </w:t>
            </w:r>
          </w:p>
          <w:p w:rsidR="002677FF" w:rsidRPr="008906AA" w:rsidRDefault="002677FF" w:rsidP="00976297">
            <w:pPr>
              <w:rPr>
                <w:rFonts w:ascii="Verdana" w:hAnsi="Verdana"/>
                <w:sz w:val="20"/>
                <w:szCs w:val="20"/>
              </w:rPr>
            </w:pPr>
            <w:r w:rsidRPr="008906AA">
              <w:rPr>
                <w:rFonts w:ascii="Verdana" w:hAnsi="Verdana"/>
                <w:sz w:val="20"/>
                <w:szCs w:val="20"/>
              </w:rPr>
              <w:t>Laut neuer Studien liegt Deutschland im Weltvergleich bei der Geburtenziffer auf Platz 220, die Liste endet mit Platz 225</w:t>
            </w:r>
            <w:r w:rsidR="00976297" w:rsidRPr="008906AA">
              <w:rPr>
                <w:rStyle w:val="Funotenzeichen"/>
                <w:rFonts w:ascii="Verdana" w:hAnsi="Verdana"/>
                <w:sz w:val="20"/>
                <w:szCs w:val="20"/>
              </w:rPr>
              <w:footnoteReference w:id="2"/>
            </w:r>
            <w:r w:rsidRPr="008906AA">
              <w:rPr>
                <w:rFonts w:ascii="Verdana" w:hAnsi="Verdana"/>
                <w:sz w:val="20"/>
                <w:szCs w:val="20"/>
              </w:rPr>
              <w:t>. Grund ist eine andere Berechnung</w:t>
            </w:r>
            <w:r w:rsidR="00976297" w:rsidRPr="008906AA">
              <w:rPr>
                <w:rFonts w:ascii="Verdana" w:hAnsi="Verdana"/>
                <w:sz w:val="20"/>
                <w:szCs w:val="20"/>
              </w:rPr>
              <w:t xml:space="preserve"> der Geburtenziffer, es wurde nicht die Geburtenzahl pro Frau herangezogen, sondern die</w:t>
            </w:r>
            <w:r w:rsidRPr="008906AA">
              <w:rPr>
                <w:rFonts w:ascii="Verdana" w:hAnsi="Verdana"/>
                <w:sz w:val="20"/>
                <w:szCs w:val="20"/>
              </w:rPr>
              <w:t xml:space="preserve"> Zahl der Geburten pro 1000 Einwohner.</w:t>
            </w:r>
            <w:r w:rsidR="00976297" w:rsidRPr="008906AA">
              <w:rPr>
                <w:rFonts w:ascii="Verdana" w:hAnsi="Verdana"/>
                <w:sz w:val="20"/>
                <w:szCs w:val="20"/>
              </w:rPr>
              <w:t xml:space="preserve"> </w:t>
            </w:r>
          </w:p>
          <w:p w:rsidR="005F6DD3" w:rsidRPr="008906AA" w:rsidRDefault="005F6DD3" w:rsidP="00976297">
            <w:pPr>
              <w:rPr>
                <w:rFonts w:ascii="Verdana" w:hAnsi="Verdana"/>
                <w:sz w:val="20"/>
                <w:szCs w:val="20"/>
              </w:rPr>
            </w:pPr>
          </w:p>
        </w:tc>
      </w:tr>
    </w:tbl>
    <w:p w:rsidR="00CA29BF" w:rsidRDefault="00CA29BF" w:rsidP="008A68E4">
      <w:pPr>
        <w:spacing w:after="0" w:line="240" w:lineRule="auto"/>
        <w:rPr>
          <w:rFonts w:ascii="Verdana" w:hAnsi="Verdana"/>
          <w:sz w:val="20"/>
          <w:szCs w:val="20"/>
        </w:rPr>
      </w:pPr>
    </w:p>
    <w:p w:rsidR="008906AA" w:rsidRDefault="008906AA" w:rsidP="008A68E4">
      <w:pPr>
        <w:spacing w:after="0" w:line="240" w:lineRule="auto"/>
        <w:rPr>
          <w:rFonts w:ascii="Verdana" w:hAnsi="Verdana"/>
          <w:sz w:val="20"/>
          <w:szCs w:val="20"/>
        </w:rPr>
      </w:pPr>
    </w:p>
    <w:p w:rsidR="00E61D08" w:rsidRDefault="00E61D08">
      <w:pPr>
        <w:rPr>
          <w:rFonts w:ascii="Verdana" w:hAnsi="Verdana"/>
          <w:b/>
          <w:sz w:val="20"/>
          <w:szCs w:val="20"/>
        </w:rPr>
      </w:pPr>
      <w:r>
        <w:rPr>
          <w:rFonts w:ascii="Verdana" w:hAnsi="Verdana"/>
          <w:b/>
          <w:sz w:val="20"/>
          <w:szCs w:val="20"/>
        </w:rPr>
        <w:t>M2 Arbeitslosenquote</w:t>
      </w:r>
      <w:r>
        <w:rPr>
          <w:rStyle w:val="Funotenzeichen"/>
          <w:rFonts w:ascii="Verdana" w:hAnsi="Verdana"/>
          <w:b/>
          <w:sz w:val="20"/>
          <w:szCs w:val="20"/>
        </w:rPr>
        <w:footnoteReference w:id="3"/>
      </w:r>
      <w:r>
        <w:rPr>
          <w:rFonts w:ascii="Verdana" w:hAnsi="Verdana"/>
          <w:b/>
          <w:sz w:val="20"/>
          <w:szCs w:val="20"/>
        </w:rPr>
        <w:t xml:space="preserve"> </w:t>
      </w:r>
      <w:r>
        <w:rPr>
          <w:rFonts w:ascii="Verdana" w:hAnsi="Verdana"/>
          <w:b/>
          <w:noProof/>
          <w:sz w:val="20"/>
          <w:szCs w:val="20"/>
          <w:lang w:eastAsia="de-DE"/>
        </w:rPr>
        <w:drawing>
          <wp:inline distT="0" distB="0" distL="0" distR="0">
            <wp:extent cx="5720717" cy="4251278"/>
            <wp:effectExtent l="0" t="0" r="0" b="0"/>
            <wp:docPr id="3" name="Grafik 3" descr="C:\Users\SCHWEI~1\AppData\Local\Temp\statistic_id1224_arbeitslosenquote-in-deutschland---jahresdurchschnittswerte-bis-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EI~1\AppData\Local\Temp\statistic_id1224_arbeitslosenquote-in-deutschland---jahresdurchschnittswerte-bis-20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468" cy="4256295"/>
                    </a:xfrm>
                    <a:prstGeom prst="rect">
                      <a:avLst/>
                    </a:prstGeom>
                    <a:noFill/>
                    <a:ln>
                      <a:noFill/>
                    </a:ln>
                  </pic:spPr>
                </pic:pic>
              </a:graphicData>
            </a:graphic>
          </wp:inline>
        </w:drawing>
      </w:r>
      <w:r>
        <w:rPr>
          <w:rFonts w:ascii="Verdana" w:hAnsi="Verdana"/>
          <w:b/>
          <w:sz w:val="20"/>
          <w:szCs w:val="20"/>
        </w:rPr>
        <w:br w:type="page"/>
      </w:r>
    </w:p>
    <w:p w:rsidR="00E61D08" w:rsidRDefault="00FC6E72" w:rsidP="008A68E4">
      <w:pPr>
        <w:spacing w:after="0" w:line="240" w:lineRule="auto"/>
        <w:rPr>
          <w:rFonts w:ascii="Verdana" w:hAnsi="Verdana"/>
          <w:b/>
          <w:sz w:val="20"/>
          <w:szCs w:val="20"/>
        </w:rPr>
      </w:pPr>
      <w:r w:rsidRPr="00A05755">
        <w:rPr>
          <w:rFonts w:ascii="Verdana" w:hAnsi="Verdana"/>
          <w:b/>
          <w:sz w:val="20"/>
          <w:szCs w:val="20"/>
        </w:rPr>
        <w:lastRenderedPageBreak/>
        <w:t>M</w:t>
      </w:r>
      <w:r w:rsidR="00E61D08">
        <w:rPr>
          <w:rFonts w:ascii="Verdana" w:hAnsi="Verdana"/>
          <w:b/>
          <w:sz w:val="20"/>
          <w:szCs w:val="20"/>
        </w:rPr>
        <w:t>3</w:t>
      </w:r>
      <w:r w:rsidR="00BE2724">
        <w:rPr>
          <w:rFonts w:ascii="Verdana" w:hAnsi="Verdana"/>
          <w:b/>
          <w:sz w:val="20"/>
          <w:szCs w:val="20"/>
        </w:rPr>
        <w:t xml:space="preserve"> Niedriglohnempfänger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BE2724" w:rsidTr="00BE2724">
        <w:tc>
          <w:tcPr>
            <w:tcW w:w="534" w:type="dxa"/>
          </w:tcPr>
          <w:p w:rsidR="00BE2724" w:rsidRPr="00BE2724" w:rsidRDefault="00BE2724" w:rsidP="008A68E4">
            <w:pPr>
              <w:rPr>
                <w:rFonts w:ascii="Verdana" w:hAnsi="Verdana"/>
                <w:sz w:val="20"/>
                <w:szCs w:val="20"/>
              </w:rPr>
            </w:pPr>
            <w:r w:rsidRPr="00BE2724">
              <w:rPr>
                <w:rFonts w:ascii="Verdana" w:hAnsi="Verdana"/>
                <w:sz w:val="20"/>
                <w:szCs w:val="20"/>
              </w:rPr>
              <w:t>1</w:t>
            </w:r>
          </w:p>
          <w:p w:rsidR="00BE2724" w:rsidRPr="00BE2724" w:rsidRDefault="00BE2724" w:rsidP="008A68E4">
            <w:pPr>
              <w:rPr>
                <w:rFonts w:ascii="Verdana" w:hAnsi="Verdana"/>
                <w:sz w:val="20"/>
                <w:szCs w:val="20"/>
              </w:rPr>
            </w:pPr>
          </w:p>
          <w:p w:rsidR="00BE2724" w:rsidRPr="00BE2724" w:rsidRDefault="00BE2724" w:rsidP="008A68E4">
            <w:pPr>
              <w:rPr>
                <w:rFonts w:ascii="Verdana" w:hAnsi="Verdana"/>
                <w:sz w:val="20"/>
                <w:szCs w:val="20"/>
              </w:rPr>
            </w:pPr>
          </w:p>
          <w:p w:rsidR="00BE2724" w:rsidRPr="00BE2724" w:rsidRDefault="00BE2724" w:rsidP="008A68E4">
            <w:pPr>
              <w:rPr>
                <w:rFonts w:ascii="Verdana" w:hAnsi="Verdana"/>
                <w:sz w:val="20"/>
                <w:szCs w:val="20"/>
              </w:rPr>
            </w:pPr>
          </w:p>
          <w:p w:rsidR="00BE2724" w:rsidRPr="00BE2724" w:rsidRDefault="00BE2724" w:rsidP="008A68E4">
            <w:pPr>
              <w:rPr>
                <w:rFonts w:ascii="Verdana" w:hAnsi="Verdana"/>
                <w:sz w:val="20"/>
                <w:szCs w:val="20"/>
              </w:rPr>
            </w:pPr>
            <w:r w:rsidRPr="00BE2724">
              <w:rPr>
                <w:rFonts w:ascii="Verdana" w:hAnsi="Verdana"/>
                <w:sz w:val="20"/>
                <w:szCs w:val="20"/>
              </w:rPr>
              <w:t>5</w:t>
            </w:r>
          </w:p>
        </w:tc>
        <w:tc>
          <w:tcPr>
            <w:tcW w:w="8678" w:type="dxa"/>
          </w:tcPr>
          <w:p w:rsidR="00BE2724" w:rsidRPr="00BE2724" w:rsidRDefault="00BE2724" w:rsidP="00BE2724">
            <w:pPr>
              <w:rPr>
                <w:rFonts w:ascii="Verdana" w:hAnsi="Verdana"/>
                <w:sz w:val="20"/>
                <w:szCs w:val="20"/>
              </w:rPr>
            </w:pPr>
            <w:r w:rsidRPr="00BE2724">
              <w:rPr>
                <w:rFonts w:ascii="Verdana" w:eastAsia="Times New Roman" w:hAnsi="Verdana" w:cs="Arial"/>
                <w:sz w:val="20"/>
                <w:szCs w:val="20"/>
                <w:lang w:eastAsia="de-DE"/>
              </w:rPr>
              <w:t>In Deutschland sind ca. 25 % der Erwerbstätigen Niedriglohnempfänger, damit liegt das Land im europäischen Vergleich auf Platz 2 hinter Litauen</w:t>
            </w:r>
            <w:r w:rsidRPr="00BE2724">
              <w:rPr>
                <w:rStyle w:val="Funotenzeichen"/>
                <w:rFonts w:ascii="Verdana" w:eastAsia="Times New Roman" w:hAnsi="Verdana" w:cs="Arial"/>
                <w:sz w:val="20"/>
                <w:szCs w:val="20"/>
                <w:lang w:eastAsia="de-DE"/>
              </w:rPr>
              <w:footnoteReference w:id="4"/>
            </w:r>
            <w:r w:rsidRPr="00BE2724">
              <w:rPr>
                <w:rFonts w:ascii="Verdana" w:eastAsia="Times New Roman" w:hAnsi="Verdana" w:cs="Arial"/>
                <w:sz w:val="20"/>
                <w:szCs w:val="20"/>
                <w:lang w:eastAsia="de-DE"/>
              </w:rPr>
              <w:t xml:space="preserve">. Vor allem Frauen und Teilzeitbeschäftigte, von denen 80% eine Berufsausbildung haben, gehören in Deutschland zur Gruppe der Niedriglohnbezieher. Das heißt, sie bekommen weniger als 10 EUR brutto die Stunde. Wer in Deutschland </w:t>
            </w:r>
            <w:r w:rsidRPr="00BE2724">
              <w:rPr>
                <w:rFonts w:ascii="Verdana" w:hAnsi="Verdana"/>
                <w:sz w:val="20"/>
                <w:szCs w:val="20"/>
              </w:rPr>
              <w:t>für seine Arbeit nur den gesetzlichen Mindestlohn in Höhe von 8,50 EUR pro Stunde bekommt, zählt zur Gruppe der Geringverdiener.</w:t>
            </w:r>
          </w:p>
          <w:p w:rsidR="00BE2724" w:rsidRDefault="00BE2724" w:rsidP="008A68E4">
            <w:pPr>
              <w:rPr>
                <w:rFonts w:ascii="Verdana" w:hAnsi="Verdana"/>
                <w:b/>
                <w:sz w:val="20"/>
                <w:szCs w:val="20"/>
              </w:rPr>
            </w:pPr>
          </w:p>
        </w:tc>
      </w:tr>
    </w:tbl>
    <w:p w:rsidR="00E61D08" w:rsidRDefault="00E61D08" w:rsidP="008A68E4">
      <w:pPr>
        <w:spacing w:after="0" w:line="240" w:lineRule="auto"/>
        <w:rPr>
          <w:rFonts w:ascii="Verdana" w:hAnsi="Verdana"/>
          <w:b/>
          <w:sz w:val="20"/>
          <w:szCs w:val="20"/>
        </w:rPr>
      </w:pPr>
    </w:p>
    <w:p w:rsidR="00BE2724" w:rsidRDefault="00BE2724" w:rsidP="008A68E4">
      <w:pPr>
        <w:spacing w:after="0" w:line="240" w:lineRule="auto"/>
        <w:rPr>
          <w:rFonts w:ascii="Verdana" w:hAnsi="Verdana"/>
          <w:b/>
          <w:sz w:val="20"/>
          <w:szCs w:val="20"/>
        </w:rPr>
      </w:pPr>
      <w:r>
        <w:rPr>
          <w:rFonts w:ascii="Verdana" w:hAnsi="Verdana"/>
          <w:b/>
          <w:sz w:val="20"/>
          <w:szCs w:val="20"/>
        </w:rPr>
        <w:sym w:font="Wingdings" w:char="F031"/>
      </w:r>
      <w:r>
        <w:rPr>
          <w:rFonts w:ascii="Verdana" w:hAnsi="Verdana"/>
          <w:b/>
          <w:sz w:val="20"/>
          <w:szCs w:val="20"/>
        </w:rPr>
        <w:t xml:space="preserve"> </w:t>
      </w:r>
    </w:p>
    <w:p w:rsidR="00E61D08" w:rsidRPr="00BE2724" w:rsidRDefault="00BE2724" w:rsidP="008A68E4">
      <w:pPr>
        <w:spacing w:after="0" w:line="240" w:lineRule="auto"/>
        <w:rPr>
          <w:rFonts w:ascii="Verdana" w:hAnsi="Verdana"/>
          <w:i/>
          <w:sz w:val="20"/>
          <w:szCs w:val="20"/>
        </w:rPr>
      </w:pPr>
      <w:r w:rsidRPr="00BE2724">
        <w:rPr>
          <w:rFonts w:ascii="Verdana" w:hAnsi="Verdana"/>
          <w:i/>
          <w:sz w:val="20"/>
          <w:szCs w:val="20"/>
        </w:rPr>
        <w:t>Überlegen Sie, welche Auswirkungen die Arbeitslosenquote (M2) und die Niedriglöhne (M3) auf die Familienplanung haben könnten.</w:t>
      </w:r>
    </w:p>
    <w:p w:rsidR="00BE2724" w:rsidRDefault="00BE2724" w:rsidP="008A68E4">
      <w:pPr>
        <w:spacing w:after="0" w:line="240" w:lineRule="auto"/>
        <w:rPr>
          <w:rFonts w:ascii="Verdana" w:hAnsi="Verdana"/>
          <w:b/>
          <w:sz w:val="20"/>
          <w:szCs w:val="20"/>
        </w:rPr>
      </w:pPr>
    </w:p>
    <w:p w:rsidR="00E61D08" w:rsidRDefault="00E61D08" w:rsidP="008A68E4">
      <w:pPr>
        <w:spacing w:after="0" w:line="240" w:lineRule="auto"/>
        <w:rPr>
          <w:rFonts w:ascii="Verdana" w:hAnsi="Verdana"/>
          <w:b/>
          <w:sz w:val="20"/>
          <w:szCs w:val="20"/>
        </w:rPr>
      </w:pPr>
    </w:p>
    <w:p w:rsidR="00CA29BF" w:rsidRPr="00A05755" w:rsidRDefault="00BE2724" w:rsidP="008A68E4">
      <w:pPr>
        <w:spacing w:after="0" w:line="240" w:lineRule="auto"/>
        <w:rPr>
          <w:rFonts w:ascii="Verdana" w:hAnsi="Verdana"/>
          <w:b/>
          <w:sz w:val="20"/>
          <w:szCs w:val="20"/>
        </w:rPr>
      </w:pPr>
      <w:r>
        <w:rPr>
          <w:rFonts w:ascii="Verdana" w:hAnsi="Verdana"/>
          <w:b/>
          <w:sz w:val="20"/>
          <w:szCs w:val="20"/>
        </w:rPr>
        <w:t xml:space="preserve">M4 </w:t>
      </w:r>
      <w:r w:rsidR="00565777" w:rsidRPr="00A05755">
        <w:rPr>
          <w:rFonts w:ascii="Verdana" w:hAnsi="Verdana"/>
          <w:b/>
          <w:sz w:val="20"/>
          <w:szCs w:val="20"/>
        </w:rPr>
        <w:t>Bisher eingeführte Maßnahmen</w:t>
      </w:r>
    </w:p>
    <w:tbl>
      <w:tblPr>
        <w:tblStyle w:val="Tabellenrast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4245E4" w:rsidRPr="004245E4" w:rsidTr="00BE2724">
        <w:tc>
          <w:tcPr>
            <w:tcW w:w="534" w:type="dxa"/>
          </w:tcPr>
          <w:p w:rsidR="002A40D4" w:rsidRPr="004245E4" w:rsidRDefault="002A40D4" w:rsidP="00A2065A">
            <w:pPr>
              <w:rPr>
                <w:rFonts w:ascii="Verdana" w:hAnsi="Verdana"/>
                <w:sz w:val="20"/>
                <w:szCs w:val="20"/>
              </w:rPr>
            </w:pPr>
            <w:bookmarkStart w:id="0" w:name="_GoBack"/>
            <w:r w:rsidRPr="004245E4">
              <w:rPr>
                <w:rFonts w:ascii="Verdana" w:hAnsi="Verdana"/>
                <w:sz w:val="20"/>
                <w:szCs w:val="20"/>
              </w:rPr>
              <w:t>1</w:t>
            </w:r>
          </w:p>
          <w:p w:rsidR="002A40D4" w:rsidRPr="004245E4" w:rsidRDefault="002A40D4" w:rsidP="00A2065A">
            <w:pPr>
              <w:rPr>
                <w:rFonts w:ascii="Verdana" w:hAnsi="Verdana"/>
                <w:sz w:val="20"/>
                <w:szCs w:val="20"/>
              </w:rPr>
            </w:pPr>
          </w:p>
          <w:p w:rsidR="002A40D4" w:rsidRPr="004245E4" w:rsidRDefault="002A40D4" w:rsidP="00A2065A">
            <w:pPr>
              <w:rPr>
                <w:rFonts w:ascii="Verdana" w:hAnsi="Verdana"/>
                <w:sz w:val="20"/>
                <w:szCs w:val="20"/>
              </w:rPr>
            </w:pPr>
          </w:p>
          <w:p w:rsidR="002A40D4" w:rsidRPr="004245E4" w:rsidRDefault="002A40D4" w:rsidP="00A2065A">
            <w:pPr>
              <w:rPr>
                <w:rFonts w:ascii="Verdana" w:hAnsi="Verdana"/>
                <w:sz w:val="20"/>
                <w:szCs w:val="20"/>
              </w:rPr>
            </w:pPr>
          </w:p>
          <w:p w:rsidR="002A40D4" w:rsidRPr="004245E4" w:rsidRDefault="002A40D4" w:rsidP="00A2065A">
            <w:pPr>
              <w:rPr>
                <w:rFonts w:ascii="Verdana" w:hAnsi="Verdana"/>
                <w:sz w:val="20"/>
                <w:szCs w:val="20"/>
              </w:rPr>
            </w:pPr>
            <w:r w:rsidRPr="004245E4">
              <w:rPr>
                <w:rFonts w:ascii="Verdana" w:hAnsi="Verdana"/>
                <w:sz w:val="20"/>
                <w:szCs w:val="20"/>
              </w:rPr>
              <w:t>5</w:t>
            </w:r>
          </w:p>
          <w:p w:rsidR="002A40D4" w:rsidRPr="004245E4" w:rsidRDefault="002A40D4" w:rsidP="00A2065A">
            <w:pPr>
              <w:rPr>
                <w:rFonts w:ascii="Verdana" w:hAnsi="Verdana"/>
                <w:sz w:val="20"/>
                <w:szCs w:val="20"/>
              </w:rPr>
            </w:pPr>
          </w:p>
          <w:p w:rsidR="002A40D4" w:rsidRPr="004245E4" w:rsidRDefault="002A40D4" w:rsidP="00A2065A">
            <w:pPr>
              <w:rPr>
                <w:rFonts w:ascii="Verdana" w:hAnsi="Verdana"/>
                <w:sz w:val="20"/>
                <w:szCs w:val="20"/>
              </w:rPr>
            </w:pPr>
          </w:p>
          <w:p w:rsidR="002A40D4" w:rsidRPr="004245E4" w:rsidRDefault="002A40D4" w:rsidP="00A2065A">
            <w:pPr>
              <w:rPr>
                <w:rFonts w:ascii="Verdana" w:hAnsi="Verdana"/>
                <w:sz w:val="20"/>
                <w:szCs w:val="20"/>
              </w:rPr>
            </w:pPr>
          </w:p>
          <w:p w:rsidR="002A40D4" w:rsidRPr="004245E4" w:rsidRDefault="002A40D4" w:rsidP="00A2065A">
            <w:pPr>
              <w:rPr>
                <w:rFonts w:ascii="Verdana" w:hAnsi="Verdana"/>
                <w:sz w:val="20"/>
                <w:szCs w:val="20"/>
              </w:rPr>
            </w:pPr>
          </w:p>
          <w:p w:rsidR="002A40D4" w:rsidRPr="004245E4" w:rsidRDefault="002A40D4" w:rsidP="00A2065A">
            <w:pPr>
              <w:rPr>
                <w:rFonts w:ascii="Verdana" w:hAnsi="Verdana"/>
                <w:sz w:val="20"/>
                <w:szCs w:val="20"/>
              </w:rPr>
            </w:pPr>
            <w:r w:rsidRPr="004245E4">
              <w:rPr>
                <w:rFonts w:ascii="Verdana" w:hAnsi="Verdana"/>
                <w:sz w:val="20"/>
                <w:szCs w:val="20"/>
              </w:rPr>
              <w:t>10</w:t>
            </w:r>
          </w:p>
          <w:p w:rsidR="002A40D4" w:rsidRPr="004245E4" w:rsidRDefault="002A40D4" w:rsidP="00A2065A">
            <w:pPr>
              <w:rPr>
                <w:rFonts w:ascii="Verdana" w:hAnsi="Verdana"/>
                <w:sz w:val="20"/>
                <w:szCs w:val="20"/>
              </w:rPr>
            </w:pPr>
          </w:p>
          <w:p w:rsidR="002A40D4" w:rsidRPr="004245E4" w:rsidRDefault="002A40D4" w:rsidP="00A2065A">
            <w:pPr>
              <w:rPr>
                <w:rFonts w:ascii="Verdana" w:hAnsi="Verdana"/>
                <w:sz w:val="20"/>
                <w:szCs w:val="20"/>
              </w:rPr>
            </w:pPr>
          </w:p>
          <w:p w:rsidR="002A40D4" w:rsidRPr="004245E4" w:rsidRDefault="002A40D4" w:rsidP="00A2065A">
            <w:pPr>
              <w:rPr>
                <w:rFonts w:ascii="Verdana" w:hAnsi="Verdana"/>
                <w:sz w:val="20"/>
                <w:szCs w:val="20"/>
              </w:rPr>
            </w:pPr>
          </w:p>
          <w:p w:rsidR="002A40D4" w:rsidRPr="004245E4" w:rsidRDefault="002A40D4" w:rsidP="00A2065A">
            <w:pPr>
              <w:rPr>
                <w:rFonts w:ascii="Verdana" w:hAnsi="Verdana"/>
                <w:sz w:val="20"/>
                <w:szCs w:val="20"/>
              </w:rPr>
            </w:pPr>
          </w:p>
          <w:p w:rsidR="002A40D4" w:rsidRPr="004245E4" w:rsidRDefault="002A40D4" w:rsidP="00A2065A">
            <w:pPr>
              <w:rPr>
                <w:rFonts w:ascii="Verdana" w:hAnsi="Verdana"/>
                <w:sz w:val="20"/>
                <w:szCs w:val="20"/>
              </w:rPr>
            </w:pPr>
            <w:r w:rsidRPr="004245E4">
              <w:rPr>
                <w:rFonts w:ascii="Verdana" w:hAnsi="Verdana"/>
                <w:sz w:val="20"/>
                <w:szCs w:val="20"/>
              </w:rPr>
              <w:t>15</w:t>
            </w:r>
          </w:p>
          <w:p w:rsidR="002A40D4" w:rsidRPr="004245E4" w:rsidRDefault="002A40D4" w:rsidP="00A2065A">
            <w:pPr>
              <w:rPr>
                <w:rFonts w:ascii="Verdana" w:hAnsi="Verdana"/>
                <w:sz w:val="20"/>
                <w:szCs w:val="20"/>
              </w:rPr>
            </w:pPr>
          </w:p>
          <w:p w:rsidR="002A40D4" w:rsidRPr="004245E4" w:rsidRDefault="002A40D4" w:rsidP="00A2065A">
            <w:pPr>
              <w:rPr>
                <w:rFonts w:ascii="Verdana" w:hAnsi="Verdana"/>
                <w:sz w:val="20"/>
                <w:szCs w:val="20"/>
              </w:rPr>
            </w:pPr>
          </w:p>
          <w:p w:rsidR="002A40D4" w:rsidRPr="004245E4" w:rsidRDefault="002A40D4" w:rsidP="00A2065A">
            <w:pPr>
              <w:rPr>
                <w:rFonts w:ascii="Verdana" w:hAnsi="Verdana"/>
                <w:sz w:val="20"/>
                <w:szCs w:val="20"/>
              </w:rPr>
            </w:pPr>
          </w:p>
          <w:p w:rsidR="002A40D4" w:rsidRPr="004245E4" w:rsidRDefault="002A40D4" w:rsidP="00A2065A">
            <w:pPr>
              <w:rPr>
                <w:rFonts w:ascii="Verdana" w:hAnsi="Verdana"/>
                <w:sz w:val="20"/>
                <w:szCs w:val="20"/>
              </w:rPr>
            </w:pPr>
          </w:p>
          <w:p w:rsidR="002A40D4" w:rsidRPr="004245E4" w:rsidRDefault="002A40D4" w:rsidP="00A2065A">
            <w:pPr>
              <w:rPr>
                <w:rFonts w:ascii="Verdana" w:hAnsi="Verdana"/>
                <w:sz w:val="20"/>
                <w:szCs w:val="20"/>
              </w:rPr>
            </w:pPr>
            <w:r w:rsidRPr="004245E4">
              <w:rPr>
                <w:rFonts w:ascii="Verdana" w:hAnsi="Verdana"/>
                <w:sz w:val="20"/>
                <w:szCs w:val="20"/>
              </w:rPr>
              <w:t>20</w:t>
            </w:r>
          </w:p>
          <w:p w:rsidR="002A40D4" w:rsidRPr="004245E4" w:rsidRDefault="002A40D4" w:rsidP="00A2065A">
            <w:pPr>
              <w:rPr>
                <w:rFonts w:ascii="Verdana" w:hAnsi="Verdana"/>
                <w:sz w:val="20"/>
                <w:szCs w:val="20"/>
              </w:rPr>
            </w:pPr>
          </w:p>
          <w:p w:rsidR="002A40D4" w:rsidRPr="004245E4" w:rsidRDefault="002A40D4" w:rsidP="00A2065A">
            <w:pPr>
              <w:rPr>
                <w:rFonts w:ascii="Verdana" w:hAnsi="Verdana"/>
                <w:sz w:val="20"/>
                <w:szCs w:val="20"/>
              </w:rPr>
            </w:pPr>
          </w:p>
          <w:p w:rsidR="002A40D4" w:rsidRPr="004245E4" w:rsidRDefault="002A40D4" w:rsidP="00A2065A">
            <w:pPr>
              <w:rPr>
                <w:rFonts w:ascii="Verdana" w:hAnsi="Verdana"/>
                <w:sz w:val="20"/>
                <w:szCs w:val="20"/>
              </w:rPr>
            </w:pPr>
          </w:p>
          <w:p w:rsidR="002A40D4" w:rsidRPr="004245E4" w:rsidRDefault="002A40D4" w:rsidP="00A2065A">
            <w:pPr>
              <w:rPr>
                <w:rFonts w:ascii="Verdana" w:hAnsi="Verdana"/>
                <w:sz w:val="20"/>
                <w:szCs w:val="20"/>
              </w:rPr>
            </w:pPr>
          </w:p>
          <w:p w:rsidR="002A40D4" w:rsidRPr="004245E4" w:rsidRDefault="00390201" w:rsidP="00A2065A">
            <w:pPr>
              <w:rPr>
                <w:rFonts w:ascii="Verdana" w:hAnsi="Verdana"/>
                <w:sz w:val="20"/>
                <w:szCs w:val="20"/>
              </w:rPr>
            </w:pPr>
            <w:r w:rsidRPr="004245E4">
              <w:rPr>
                <w:rFonts w:ascii="Verdana" w:hAnsi="Verdana"/>
                <w:sz w:val="20"/>
                <w:szCs w:val="20"/>
              </w:rPr>
              <w:t>25</w:t>
            </w:r>
          </w:p>
        </w:tc>
        <w:tc>
          <w:tcPr>
            <w:tcW w:w="8678" w:type="dxa"/>
          </w:tcPr>
          <w:p w:rsidR="004245E4" w:rsidRPr="004245E4" w:rsidRDefault="004245E4" w:rsidP="004245E4">
            <w:pPr>
              <w:jc w:val="both"/>
              <w:rPr>
                <w:rFonts w:ascii="Verdana" w:hAnsi="Verdana"/>
                <w:sz w:val="20"/>
                <w:szCs w:val="20"/>
              </w:rPr>
            </w:pPr>
            <w:r w:rsidRPr="004245E4">
              <w:rPr>
                <w:rFonts w:ascii="Verdana" w:hAnsi="Verdana"/>
                <w:bCs/>
                <w:sz w:val="20"/>
                <w:szCs w:val="20"/>
              </w:rPr>
              <w:t>Im Durchschnitt brachten Frauen ihr erstes Kind 2014 im Alter von 30,9 Jahren auf die Welt</w:t>
            </w:r>
            <w:r w:rsidRPr="004245E4">
              <w:rPr>
                <w:rStyle w:val="Funotenzeichen"/>
                <w:rFonts w:ascii="Verdana" w:hAnsi="Verdana"/>
                <w:bCs/>
                <w:sz w:val="20"/>
                <w:szCs w:val="20"/>
              </w:rPr>
              <w:footnoteReference w:id="5"/>
            </w:r>
            <w:r w:rsidRPr="004245E4">
              <w:rPr>
                <w:rFonts w:ascii="Verdana" w:hAnsi="Verdana"/>
                <w:bCs/>
                <w:sz w:val="20"/>
                <w:szCs w:val="20"/>
              </w:rPr>
              <w:t xml:space="preserve">. </w:t>
            </w:r>
            <w:r w:rsidRPr="004245E4">
              <w:rPr>
                <w:rFonts w:ascii="Verdana" w:hAnsi="Verdana"/>
                <w:sz w:val="20"/>
                <w:szCs w:val="20"/>
              </w:rPr>
              <w:t xml:space="preserve"> Deutschland hat eine der niedrigsten Geburtenraten der Welt, weshalb Politiker schon lange überlegen, wie dem entgegenzuwirken ist. </w:t>
            </w:r>
          </w:p>
          <w:p w:rsidR="004245E4" w:rsidRPr="004245E4" w:rsidRDefault="004245E4" w:rsidP="004245E4">
            <w:pPr>
              <w:jc w:val="both"/>
              <w:rPr>
                <w:rFonts w:ascii="Verdana" w:hAnsi="Verdana"/>
                <w:sz w:val="20"/>
                <w:szCs w:val="20"/>
              </w:rPr>
            </w:pPr>
            <w:r w:rsidRPr="004245E4">
              <w:rPr>
                <w:rFonts w:ascii="Verdana" w:hAnsi="Verdana"/>
                <w:sz w:val="20"/>
                <w:szCs w:val="20"/>
              </w:rPr>
              <w:t xml:space="preserve">Seit 2007 gibt es das </w:t>
            </w:r>
            <w:r w:rsidRPr="004245E4">
              <w:rPr>
                <w:rFonts w:ascii="Verdana" w:hAnsi="Verdana"/>
                <w:b/>
                <w:sz w:val="20"/>
                <w:szCs w:val="20"/>
              </w:rPr>
              <w:t>Elterngeld</w:t>
            </w:r>
            <w:r w:rsidRPr="004245E4">
              <w:rPr>
                <w:rFonts w:ascii="Verdana" w:hAnsi="Verdana"/>
                <w:sz w:val="20"/>
                <w:szCs w:val="20"/>
              </w:rPr>
              <w:t>, das Elternteilen monatlich 300 EUR oder 65-67% des bisherigen durchschnittlichen Nettoeinkommens zugesteht. Es wird an Väter und Mütter für maximal 14 Monate gezahlt, in denen sie ihr Kind vorrangig selbst betreuen wollen und deshalb nicht (voll) erwerbstätig sind.  Der Zeitraum kann zwischen den Elternteilen frei aufgeteilt werden, wobei jedes Elternteil mindestens zwei, maximal 14 Monate die Leistung beziehen kann.  Wenn beide Eltern die Betreuung übernehmen, kann das Geld zwei weitere Monate bezogen werden, um das wegfallende Einkommen auszugleichen. Ziele des Elterngeldes sind es, das Einkommen zu sichern, eine Zeit mit dem Kind zu gewährleisten, die Erwerbstätigkeit der Mütter zu erhöhen und eine Gleichstellung der Elternteile zu erreichen, indem die Väter an der Fürsorge beteiligt werden. Tatsache ist, dass noch keine wirkliche Steigerung der Geburtenziffer festgestellt werden kann und im Bundesdurchschnitt die Väterbeteiligung bei nur 32 % lag, die Mütterbeteiligung hingegen bei 96 %</w:t>
            </w:r>
            <w:r w:rsidRPr="004245E4">
              <w:rPr>
                <w:rStyle w:val="Funotenzeichen"/>
                <w:rFonts w:ascii="Verdana" w:hAnsi="Verdana"/>
                <w:sz w:val="20"/>
                <w:szCs w:val="20"/>
              </w:rPr>
              <w:footnoteReference w:id="6"/>
            </w:r>
            <w:r w:rsidRPr="004245E4">
              <w:rPr>
                <w:rFonts w:ascii="Verdana" w:hAnsi="Verdana"/>
                <w:sz w:val="20"/>
                <w:szCs w:val="20"/>
              </w:rPr>
              <w:t>.</w:t>
            </w:r>
          </w:p>
          <w:p w:rsidR="004245E4" w:rsidRPr="004245E4" w:rsidRDefault="004245E4" w:rsidP="004245E4">
            <w:pPr>
              <w:jc w:val="both"/>
              <w:rPr>
                <w:rFonts w:ascii="Verdana" w:hAnsi="Verdana"/>
                <w:sz w:val="20"/>
                <w:szCs w:val="20"/>
              </w:rPr>
            </w:pPr>
            <w:r w:rsidRPr="004245E4">
              <w:rPr>
                <w:rFonts w:ascii="Verdana" w:hAnsi="Verdana"/>
                <w:sz w:val="20"/>
                <w:szCs w:val="20"/>
              </w:rPr>
              <w:t xml:space="preserve">Die CDU/CSU versuchte, durch das </w:t>
            </w:r>
            <w:r w:rsidRPr="004245E4">
              <w:rPr>
                <w:rFonts w:ascii="Verdana" w:hAnsi="Verdana"/>
                <w:b/>
                <w:sz w:val="20"/>
                <w:szCs w:val="20"/>
              </w:rPr>
              <w:t>Betreuungsgeld</w:t>
            </w:r>
            <w:r w:rsidRPr="004245E4">
              <w:rPr>
                <w:rFonts w:ascii="Verdana" w:hAnsi="Verdana"/>
                <w:sz w:val="20"/>
                <w:szCs w:val="20"/>
              </w:rPr>
              <w:t xml:space="preserve"> mehr Paare zum Kinderbekommen zu bewegen. Es wurde 2013 nach einem langen politischen Streit eingeführt. Eltern, die ihr Kind zu Hause betreuten, bis es drei Jahre alt war, bekamen monatlich bis zu 150 EUR für diese Betreuung. 2015 wurden 900 Millionen Euro dafür veranschlagt. Im gleichen Jahr kippte das Bundesverfassungsgericht (</w:t>
            </w:r>
            <w:r w:rsidRPr="004245E4">
              <w:rPr>
                <w:rFonts w:ascii="Verdana" w:hAnsi="Verdana"/>
                <w:bCs/>
                <w:sz w:val="20"/>
                <w:szCs w:val="20"/>
              </w:rPr>
              <w:t>BVerfG)</w:t>
            </w:r>
            <w:r w:rsidRPr="004245E4">
              <w:rPr>
                <w:rFonts w:ascii="Verdana" w:hAnsi="Verdana"/>
                <w:sz w:val="20"/>
                <w:szCs w:val="20"/>
              </w:rPr>
              <w:t xml:space="preserve"> nach einer Klage Hamburgs die Leistung. D</w:t>
            </w:r>
            <w:r w:rsidRPr="004245E4">
              <w:rPr>
                <w:rFonts w:ascii="Verdana" w:hAnsi="Verdana"/>
                <w:bCs/>
                <w:sz w:val="20"/>
                <w:szCs w:val="20"/>
              </w:rPr>
              <w:t>er Bund hätte laut BVerfG das Gesetz gar nicht erlassen dürfen, da die Länder dafür zuständig seien.</w:t>
            </w:r>
            <w:r w:rsidRPr="004245E4">
              <w:rPr>
                <w:rFonts w:ascii="Verdana" w:hAnsi="Verdana"/>
                <w:sz w:val="20"/>
                <w:szCs w:val="20"/>
              </w:rPr>
              <w:t xml:space="preserve"> Das Grundgesetz konstatiert, dass der Bund für die öffentliche Fürsorge nur unter bestimmten Bedingungen tätig werden darf. </w:t>
            </w:r>
          </w:p>
          <w:p w:rsidR="002A40D4" w:rsidRPr="004245E4" w:rsidRDefault="004245E4" w:rsidP="004245E4">
            <w:pPr>
              <w:jc w:val="both"/>
              <w:rPr>
                <w:rFonts w:ascii="Verdana" w:hAnsi="Verdana"/>
                <w:sz w:val="20"/>
                <w:szCs w:val="20"/>
              </w:rPr>
            </w:pPr>
            <w:r w:rsidRPr="004245E4">
              <w:rPr>
                <w:rFonts w:ascii="Verdana" w:hAnsi="Verdana"/>
                <w:sz w:val="20"/>
                <w:szCs w:val="20"/>
              </w:rPr>
              <w:t xml:space="preserve">Seit dem 1.1.2016 wird für das erste und zweite Kind statt 188 EUR jeweils 190 EUR </w:t>
            </w:r>
            <w:r w:rsidRPr="004245E4">
              <w:rPr>
                <w:rFonts w:ascii="Verdana" w:hAnsi="Verdana"/>
                <w:b/>
                <w:sz w:val="20"/>
                <w:szCs w:val="20"/>
              </w:rPr>
              <w:t>Kindergeld</w:t>
            </w:r>
            <w:r w:rsidRPr="004245E4">
              <w:rPr>
                <w:rFonts w:ascii="Verdana" w:hAnsi="Verdana"/>
                <w:sz w:val="20"/>
                <w:szCs w:val="20"/>
              </w:rPr>
              <w:t>, für das dritte Kind 196 EUR und ab dem vierten Kind 221 EUR ausgezahlt.</w:t>
            </w:r>
          </w:p>
        </w:tc>
      </w:tr>
      <w:bookmarkEnd w:id="0"/>
    </w:tbl>
    <w:p w:rsidR="00FC6E72" w:rsidRDefault="00FC6E72" w:rsidP="008A68E4">
      <w:pPr>
        <w:spacing w:after="0" w:line="240" w:lineRule="auto"/>
        <w:rPr>
          <w:rFonts w:ascii="Verdana" w:hAnsi="Verdana"/>
          <w:sz w:val="20"/>
          <w:szCs w:val="20"/>
        </w:rPr>
      </w:pPr>
    </w:p>
    <w:p w:rsidR="00FE5887" w:rsidRDefault="00FE5887" w:rsidP="008A68E4">
      <w:pPr>
        <w:spacing w:after="0" w:line="240" w:lineRule="auto"/>
        <w:rPr>
          <w:rFonts w:ascii="Verdana" w:hAnsi="Verdana"/>
          <w:sz w:val="20"/>
          <w:szCs w:val="20"/>
        </w:rPr>
      </w:pPr>
    </w:p>
    <w:p w:rsidR="002A40D4" w:rsidRDefault="002A40D4" w:rsidP="002A40D4">
      <w:pPr>
        <w:spacing w:after="0" w:line="240" w:lineRule="auto"/>
        <w:rPr>
          <w:rFonts w:ascii="Verdana" w:hAnsi="Verdana"/>
          <w:sz w:val="20"/>
          <w:szCs w:val="20"/>
        </w:rPr>
      </w:pPr>
      <w:r>
        <w:rPr>
          <w:rFonts w:ascii="Verdana" w:hAnsi="Verdana"/>
          <w:sz w:val="20"/>
          <w:szCs w:val="20"/>
        </w:rPr>
        <w:sym w:font="Wingdings" w:char="F031"/>
      </w:r>
    </w:p>
    <w:p w:rsidR="00FE5887" w:rsidRDefault="00FE5887" w:rsidP="002A40D4">
      <w:pPr>
        <w:pStyle w:val="Listenabsatz"/>
        <w:numPr>
          <w:ilvl w:val="0"/>
          <w:numId w:val="1"/>
        </w:numPr>
        <w:spacing w:after="0" w:line="240" w:lineRule="auto"/>
        <w:rPr>
          <w:rFonts w:ascii="Verdana" w:hAnsi="Verdana"/>
          <w:sz w:val="20"/>
          <w:szCs w:val="20"/>
        </w:rPr>
      </w:pPr>
      <w:r>
        <w:rPr>
          <w:rFonts w:ascii="Verdana" w:hAnsi="Verdana"/>
          <w:sz w:val="20"/>
          <w:szCs w:val="20"/>
        </w:rPr>
        <w:t>Fassen Sie mit Hilfe von M</w:t>
      </w:r>
      <w:r w:rsidR="00BE2724">
        <w:rPr>
          <w:rFonts w:ascii="Verdana" w:hAnsi="Verdana"/>
          <w:sz w:val="20"/>
          <w:szCs w:val="20"/>
        </w:rPr>
        <w:t>4</w:t>
      </w:r>
      <w:r>
        <w:rPr>
          <w:rFonts w:ascii="Verdana" w:hAnsi="Verdana"/>
          <w:sz w:val="20"/>
          <w:szCs w:val="20"/>
        </w:rPr>
        <w:t xml:space="preserve"> zusammen, welche Maßnahmen bereits </w:t>
      </w:r>
      <w:r w:rsidR="007D3B47">
        <w:rPr>
          <w:rFonts w:ascii="Verdana" w:hAnsi="Verdana"/>
          <w:sz w:val="20"/>
          <w:szCs w:val="20"/>
        </w:rPr>
        <w:t xml:space="preserve">für Familien </w:t>
      </w:r>
      <w:r>
        <w:rPr>
          <w:rFonts w:ascii="Verdana" w:hAnsi="Verdana"/>
          <w:sz w:val="20"/>
          <w:szCs w:val="20"/>
        </w:rPr>
        <w:t>eingeführt wurden.</w:t>
      </w:r>
    </w:p>
    <w:p w:rsidR="002A40D4" w:rsidRDefault="002A40D4" w:rsidP="002A40D4">
      <w:pPr>
        <w:pStyle w:val="Listenabsatz"/>
        <w:numPr>
          <w:ilvl w:val="0"/>
          <w:numId w:val="1"/>
        </w:numPr>
        <w:spacing w:after="0" w:line="240" w:lineRule="auto"/>
        <w:rPr>
          <w:rFonts w:ascii="Verdana" w:hAnsi="Verdana"/>
          <w:sz w:val="20"/>
          <w:szCs w:val="20"/>
        </w:rPr>
      </w:pPr>
      <w:r w:rsidRPr="008A68E4">
        <w:rPr>
          <w:rFonts w:ascii="Verdana" w:hAnsi="Verdana"/>
          <w:sz w:val="20"/>
          <w:szCs w:val="20"/>
        </w:rPr>
        <w:t>Notieren Sie weitere Lösungsansätze, wie Kinder für Paare wieder „attraktiver“ werden</w:t>
      </w:r>
      <w:r w:rsidR="004A5882">
        <w:rPr>
          <w:rFonts w:ascii="Verdana" w:hAnsi="Verdana"/>
          <w:sz w:val="20"/>
          <w:szCs w:val="20"/>
        </w:rPr>
        <w:t xml:space="preserve"> könnten</w:t>
      </w:r>
      <w:r w:rsidRPr="008A68E4">
        <w:rPr>
          <w:rFonts w:ascii="Verdana" w:hAnsi="Verdana"/>
          <w:sz w:val="20"/>
          <w:szCs w:val="20"/>
        </w:rPr>
        <w:t>.</w:t>
      </w:r>
      <w:r w:rsidR="00142B83">
        <w:rPr>
          <w:rFonts w:ascii="Verdana" w:hAnsi="Verdana"/>
          <w:sz w:val="20"/>
          <w:szCs w:val="20"/>
        </w:rPr>
        <w:t xml:space="preserve"> Zeigen Sie dabei auf, was die Politik, die Wirtschaft und die Gesellschaft dafür tun könnten. Legen Sie eine Tabelle an.</w:t>
      </w:r>
    </w:p>
    <w:p w:rsidR="008A68E4" w:rsidRDefault="008A68E4" w:rsidP="008A68E4">
      <w:pPr>
        <w:spacing w:after="0" w:line="240" w:lineRule="auto"/>
        <w:rPr>
          <w:rFonts w:ascii="Verdana" w:hAnsi="Verdana"/>
          <w:sz w:val="20"/>
          <w:szCs w:val="20"/>
        </w:rPr>
      </w:pPr>
    </w:p>
    <w:p w:rsidR="008A68E4" w:rsidRDefault="008A68E4" w:rsidP="008A68E4">
      <w:pPr>
        <w:spacing w:after="0" w:line="240" w:lineRule="auto"/>
        <w:rPr>
          <w:rFonts w:ascii="Verdana" w:hAnsi="Verdana"/>
          <w:sz w:val="20"/>
          <w:szCs w:val="20"/>
        </w:rPr>
      </w:pPr>
    </w:p>
    <w:p w:rsidR="00474FBC" w:rsidRDefault="00474FBC" w:rsidP="00474FBC">
      <w:pPr>
        <w:spacing w:after="0" w:line="240" w:lineRule="auto"/>
        <w:rPr>
          <w:rFonts w:ascii="Verdana" w:hAnsi="Verdana"/>
          <w:sz w:val="20"/>
          <w:szCs w:val="20"/>
        </w:rPr>
      </w:pPr>
    </w:p>
    <w:p w:rsidR="001A44D8" w:rsidRPr="00474FBC" w:rsidRDefault="001A44D8" w:rsidP="007D3B47">
      <w:pPr>
        <w:rPr>
          <w:rFonts w:ascii="Verdana" w:hAnsi="Verdana"/>
          <w:sz w:val="20"/>
          <w:szCs w:val="20"/>
        </w:rPr>
      </w:pPr>
    </w:p>
    <w:sectPr w:rsidR="001A44D8" w:rsidRPr="00474FBC" w:rsidSect="00592304">
      <w:headerReference w:type="default" r:id="rId10"/>
      <w:pgSz w:w="11906" w:h="16838"/>
      <w:pgMar w:top="1417" w:right="1417" w:bottom="42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FF" w:rsidRDefault="002677FF" w:rsidP="002677FF">
      <w:pPr>
        <w:spacing w:after="0" w:line="240" w:lineRule="auto"/>
      </w:pPr>
      <w:r>
        <w:separator/>
      </w:r>
    </w:p>
  </w:endnote>
  <w:endnote w:type="continuationSeparator" w:id="0">
    <w:p w:rsidR="002677FF" w:rsidRDefault="002677FF" w:rsidP="0026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FF" w:rsidRDefault="002677FF" w:rsidP="002677FF">
      <w:pPr>
        <w:spacing w:after="0" w:line="240" w:lineRule="auto"/>
      </w:pPr>
      <w:r>
        <w:separator/>
      </w:r>
    </w:p>
  </w:footnote>
  <w:footnote w:type="continuationSeparator" w:id="0">
    <w:p w:rsidR="002677FF" w:rsidRDefault="002677FF" w:rsidP="002677FF">
      <w:pPr>
        <w:spacing w:after="0" w:line="240" w:lineRule="auto"/>
      </w:pPr>
      <w:r>
        <w:continuationSeparator/>
      </w:r>
    </w:p>
  </w:footnote>
  <w:footnote w:id="1">
    <w:p w:rsidR="002677FF" w:rsidRPr="00FC6E72" w:rsidRDefault="002677FF">
      <w:pPr>
        <w:pStyle w:val="Funotentext"/>
        <w:rPr>
          <w:rFonts w:ascii="Verdana" w:hAnsi="Verdana"/>
          <w:sz w:val="14"/>
        </w:rPr>
      </w:pPr>
      <w:r w:rsidRPr="00FC6E72">
        <w:rPr>
          <w:rStyle w:val="Funotenzeichen"/>
          <w:rFonts w:ascii="Verdana" w:hAnsi="Verdana"/>
          <w:sz w:val="14"/>
        </w:rPr>
        <w:footnoteRef/>
      </w:r>
      <w:r w:rsidRPr="00FC6E72">
        <w:rPr>
          <w:rFonts w:ascii="Verdana" w:hAnsi="Verdana"/>
          <w:sz w:val="14"/>
        </w:rPr>
        <w:t xml:space="preserve"> https://www.destatis.de/DE/PresseService/Presse/Pressemitteilungen/2015/12/PD15_468_126.html</w:t>
      </w:r>
    </w:p>
  </w:footnote>
  <w:footnote w:id="2">
    <w:p w:rsidR="00976297" w:rsidRPr="002A40D4" w:rsidRDefault="00976297">
      <w:pPr>
        <w:pStyle w:val="Funotentext"/>
        <w:rPr>
          <w:rFonts w:ascii="Verdana" w:hAnsi="Verdana"/>
          <w:sz w:val="14"/>
          <w:szCs w:val="14"/>
        </w:rPr>
      </w:pPr>
      <w:r w:rsidRPr="002A40D4">
        <w:rPr>
          <w:rStyle w:val="Funotenzeichen"/>
          <w:rFonts w:ascii="Verdana" w:hAnsi="Verdana"/>
          <w:sz w:val="14"/>
          <w:szCs w:val="14"/>
        </w:rPr>
        <w:footnoteRef/>
      </w:r>
      <w:r w:rsidRPr="002A40D4">
        <w:rPr>
          <w:rFonts w:ascii="Verdana" w:hAnsi="Verdana"/>
          <w:sz w:val="14"/>
          <w:szCs w:val="14"/>
        </w:rPr>
        <w:t xml:space="preserve"> http://www.laenderdaten.de/bevoelkerung/geburtenrate.aspx</w:t>
      </w:r>
    </w:p>
  </w:footnote>
  <w:footnote w:id="3">
    <w:p w:rsidR="00E61D08" w:rsidRDefault="00E61D08">
      <w:pPr>
        <w:pStyle w:val="Funotentext"/>
      </w:pPr>
      <w:r>
        <w:rPr>
          <w:rStyle w:val="Funotenzeichen"/>
        </w:rPr>
        <w:footnoteRef/>
      </w:r>
      <w:r>
        <w:t xml:space="preserve"> </w:t>
      </w:r>
      <w:r w:rsidRPr="00E61D08">
        <w:t>http://de.statista.com/statistik/daten/studie/1224/umfrage/arbeitslosenquote-in-deutschland-seit-1995/</w:t>
      </w:r>
    </w:p>
  </w:footnote>
  <w:footnote w:id="4">
    <w:p w:rsidR="00BE2724" w:rsidRPr="00CE30E8" w:rsidRDefault="00BE2724" w:rsidP="00BE2724">
      <w:pPr>
        <w:pStyle w:val="Funotentext"/>
        <w:rPr>
          <w:rFonts w:ascii="Verdana" w:hAnsi="Verdana"/>
          <w:sz w:val="14"/>
          <w:szCs w:val="14"/>
        </w:rPr>
      </w:pPr>
      <w:r w:rsidRPr="00CE30E8">
        <w:rPr>
          <w:rStyle w:val="Funotenzeichen"/>
          <w:rFonts w:ascii="Verdana" w:hAnsi="Verdana"/>
          <w:sz w:val="14"/>
          <w:szCs w:val="14"/>
        </w:rPr>
        <w:footnoteRef/>
      </w:r>
      <w:r w:rsidRPr="00CE30E8">
        <w:rPr>
          <w:rFonts w:ascii="Verdana" w:hAnsi="Verdana"/>
          <w:sz w:val="14"/>
          <w:szCs w:val="14"/>
        </w:rPr>
        <w:t xml:space="preserve"> Institut für Arbeitsmarkt- und Berufsforschung</w:t>
      </w:r>
      <w:r>
        <w:rPr>
          <w:rFonts w:ascii="Verdana" w:hAnsi="Verdana"/>
          <w:sz w:val="14"/>
          <w:szCs w:val="14"/>
        </w:rPr>
        <w:t xml:space="preserve"> </w:t>
      </w:r>
      <w:r>
        <w:t>der Bundesagentur für Arbeit</w:t>
      </w:r>
      <w:r w:rsidRPr="00CE30E8">
        <w:rPr>
          <w:rFonts w:ascii="Verdana" w:hAnsi="Verdana"/>
          <w:sz w:val="14"/>
          <w:szCs w:val="14"/>
        </w:rPr>
        <w:t>, IAB-Kurzbericht, Aktuelle Analysen aus dem Institut für Arbeitsmarkt- und Berufsforschung, 15/2013, online: http://doku.iab.de/kurzber/2013/kb1513.pdf</w:t>
      </w:r>
    </w:p>
  </w:footnote>
  <w:footnote w:id="5">
    <w:p w:rsidR="004245E4" w:rsidRPr="00CE30E8" w:rsidRDefault="004245E4" w:rsidP="004245E4">
      <w:pPr>
        <w:pStyle w:val="Funotentext"/>
        <w:rPr>
          <w:rFonts w:ascii="Verdana" w:hAnsi="Verdana"/>
          <w:sz w:val="14"/>
          <w:szCs w:val="14"/>
        </w:rPr>
      </w:pPr>
      <w:r w:rsidRPr="00CE30E8">
        <w:rPr>
          <w:rStyle w:val="Funotenzeichen"/>
          <w:rFonts w:ascii="Verdana" w:hAnsi="Verdana"/>
          <w:sz w:val="14"/>
          <w:szCs w:val="14"/>
        </w:rPr>
        <w:footnoteRef/>
      </w:r>
      <w:r w:rsidRPr="00CE30E8">
        <w:rPr>
          <w:rFonts w:ascii="Verdana" w:hAnsi="Verdana"/>
          <w:sz w:val="14"/>
          <w:szCs w:val="14"/>
        </w:rPr>
        <w:t xml:space="preserve"> https://www.destatis.de/DE/ZahlenFakten/GesellschaftStaat/Bevoelkerung/Geburten/Tabellen/GeburtenMutteralter.html</w:t>
      </w:r>
    </w:p>
  </w:footnote>
  <w:footnote w:id="6">
    <w:p w:rsidR="004245E4" w:rsidRPr="002A40D4" w:rsidRDefault="004245E4" w:rsidP="004245E4">
      <w:pPr>
        <w:pStyle w:val="Funotentext"/>
        <w:rPr>
          <w:rFonts w:ascii="Verdana" w:hAnsi="Verdana"/>
          <w:sz w:val="14"/>
          <w:szCs w:val="14"/>
        </w:rPr>
      </w:pPr>
      <w:r w:rsidRPr="002A40D4">
        <w:rPr>
          <w:rStyle w:val="Funotenzeichen"/>
          <w:rFonts w:ascii="Verdana" w:hAnsi="Verdana"/>
          <w:sz w:val="14"/>
          <w:szCs w:val="14"/>
        </w:rPr>
        <w:footnoteRef/>
      </w:r>
      <w:r w:rsidRPr="002A40D4">
        <w:rPr>
          <w:rFonts w:ascii="Verdana" w:hAnsi="Verdana"/>
          <w:sz w:val="14"/>
          <w:szCs w:val="14"/>
        </w:rPr>
        <w:t xml:space="preserve"> https://www.destatis.de/DE/PresseService/Presse/Pressemitteilungen/2015/09/PD15_352_22922.html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B7" w:rsidRPr="00DC0EB7" w:rsidRDefault="00DC0EB7" w:rsidP="00592304">
    <w:pPr>
      <w:pStyle w:val="Kopfzeile"/>
      <w:pBdr>
        <w:bottom w:val="single" w:sz="4" w:space="1" w:color="auto"/>
      </w:pBdr>
      <w:jc w:val="center"/>
      <w:rPr>
        <w:rFonts w:ascii="Verdana" w:hAnsi="Verdana"/>
        <w:sz w:val="16"/>
      </w:rPr>
    </w:pPr>
    <w:r w:rsidRPr="00DC0EB7">
      <w:rPr>
        <w:rFonts w:ascii="Verdana" w:hAnsi="Verdana"/>
        <w:noProof/>
        <w:sz w:val="16"/>
        <w:lang w:eastAsia="de-DE"/>
      </w:rPr>
      <w:drawing>
        <wp:inline distT="0" distB="0" distL="0" distR="0" wp14:anchorId="7F9E8E6B" wp14:editId="00CAA11A">
          <wp:extent cx="423081" cy="42308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_Logo_6a_ohne_rand.jpg"/>
                  <pic:cNvPicPr/>
                </pic:nvPicPr>
                <pic:blipFill>
                  <a:blip r:embed="rId1">
                    <a:extLst>
                      <a:ext uri="{28A0092B-C50C-407E-A947-70E740481C1C}">
                        <a14:useLocalDpi xmlns:a14="http://schemas.microsoft.com/office/drawing/2010/main" val="0"/>
                      </a:ext>
                    </a:extLst>
                  </a:blip>
                  <a:stretch>
                    <a:fillRect/>
                  </a:stretch>
                </pic:blipFill>
                <pic:spPr>
                  <a:xfrm>
                    <a:off x="0" y="0"/>
                    <a:ext cx="423181" cy="423181"/>
                  </a:xfrm>
                  <a:prstGeom prst="rect">
                    <a:avLst/>
                  </a:prstGeom>
                </pic:spPr>
              </pic:pic>
            </a:graphicData>
          </a:graphic>
        </wp:inline>
      </w:drawing>
    </w:r>
    <w:r>
      <w:rPr>
        <w:rFonts w:ascii="Verdana" w:hAnsi="Verdana"/>
        <w:sz w:val="16"/>
      </w:rPr>
      <w:t xml:space="preserve">   </w:t>
    </w:r>
    <w:r w:rsidRPr="00DC0EB7">
      <w:rPr>
        <w:rFonts w:ascii="Verdana" w:hAnsi="Verdana"/>
        <w:sz w:val="16"/>
      </w:rPr>
      <w:t>Landesbildungsserver Baden-Württemberg, Fachredaktion Gemeinschaftskunde www.gemeinschaftskunde-bw.de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0A5"/>
    <w:multiLevelType w:val="hybridMultilevel"/>
    <w:tmpl w:val="9BD0FC16"/>
    <w:lvl w:ilvl="0" w:tplc="13F27F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45774F"/>
    <w:multiLevelType w:val="hybridMultilevel"/>
    <w:tmpl w:val="B880A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63626A"/>
    <w:multiLevelType w:val="hybridMultilevel"/>
    <w:tmpl w:val="CD5A7C9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E4"/>
    <w:rsid w:val="00142B83"/>
    <w:rsid w:val="001A44D8"/>
    <w:rsid w:val="0025762E"/>
    <w:rsid w:val="002677FF"/>
    <w:rsid w:val="002935FD"/>
    <w:rsid w:val="002A40D4"/>
    <w:rsid w:val="00390201"/>
    <w:rsid w:val="004245E4"/>
    <w:rsid w:val="00455204"/>
    <w:rsid w:val="00474FBC"/>
    <w:rsid w:val="004A5882"/>
    <w:rsid w:val="00565777"/>
    <w:rsid w:val="00592304"/>
    <w:rsid w:val="005F6DD3"/>
    <w:rsid w:val="007D3B47"/>
    <w:rsid w:val="008906AA"/>
    <w:rsid w:val="008A68E4"/>
    <w:rsid w:val="00976297"/>
    <w:rsid w:val="009C2673"/>
    <w:rsid w:val="00A05755"/>
    <w:rsid w:val="00B10A4B"/>
    <w:rsid w:val="00BE2724"/>
    <w:rsid w:val="00CA29BF"/>
    <w:rsid w:val="00CE30E8"/>
    <w:rsid w:val="00DC0EB7"/>
    <w:rsid w:val="00DC2C6F"/>
    <w:rsid w:val="00DD2F1C"/>
    <w:rsid w:val="00E61D08"/>
    <w:rsid w:val="00FC6E72"/>
    <w:rsid w:val="00FE5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styleId="Hyperlink">
    <w:name w:val="Hyperlink"/>
    <w:basedOn w:val="Absatz-Standardschriftart"/>
    <w:uiPriority w:val="99"/>
    <w:unhideWhenUsed/>
    <w:rsid w:val="008A68E4"/>
    <w:rPr>
      <w:color w:val="0000FF" w:themeColor="hyperlink"/>
      <w:u w:val="single"/>
    </w:rPr>
  </w:style>
  <w:style w:type="paragraph" w:styleId="Listenabsatz">
    <w:name w:val="List Paragraph"/>
    <w:basedOn w:val="Standard"/>
    <w:uiPriority w:val="34"/>
    <w:qFormat/>
    <w:rsid w:val="008A68E4"/>
    <w:pPr>
      <w:ind w:left="720"/>
      <w:contextualSpacing/>
    </w:pPr>
  </w:style>
  <w:style w:type="table" w:styleId="Tabellenraster">
    <w:name w:val="Table Grid"/>
    <w:basedOn w:val="NormaleTabelle"/>
    <w:uiPriority w:val="59"/>
    <w:rsid w:val="001A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CA29B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A29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29BF"/>
    <w:rPr>
      <w:rFonts w:ascii="Tahoma" w:hAnsi="Tahoma" w:cs="Tahoma"/>
      <w:sz w:val="16"/>
      <w:szCs w:val="16"/>
    </w:rPr>
  </w:style>
  <w:style w:type="paragraph" w:styleId="Funotentext">
    <w:name w:val="footnote text"/>
    <w:basedOn w:val="Standard"/>
    <w:link w:val="FunotentextZchn"/>
    <w:uiPriority w:val="99"/>
    <w:semiHidden/>
    <w:unhideWhenUsed/>
    <w:rsid w:val="002677F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677FF"/>
    <w:rPr>
      <w:sz w:val="20"/>
      <w:szCs w:val="20"/>
    </w:rPr>
  </w:style>
  <w:style w:type="character" w:styleId="Funotenzeichen">
    <w:name w:val="footnote reference"/>
    <w:basedOn w:val="Absatz-Standardschriftart"/>
    <w:uiPriority w:val="99"/>
    <w:semiHidden/>
    <w:unhideWhenUsed/>
    <w:rsid w:val="002677FF"/>
    <w:rPr>
      <w:vertAlign w:val="superscript"/>
    </w:rPr>
  </w:style>
  <w:style w:type="character" w:styleId="HTMLAkronym">
    <w:name w:val="HTML Acronym"/>
    <w:basedOn w:val="Absatz-Standardschriftart"/>
    <w:uiPriority w:val="99"/>
    <w:semiHidden/>
    <w:unhideWhenUsed/>
    <w:rsid w:val="005F6DD3"/>
  </w:style>
  <w:style w:type="paragraph" w:styleId="Kopfzeile">
    <w:name w:val="header"/>
    <w:basedOn w:val="Standard"/>
    <w:link w:val="KopfzeileZchn"/>
    <w:uiPriority w:val="99"/>
    <w:unhideWhenUsed/>
    <w:rsid w:val="00DC0E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0EB7"/>
  </w:style>
  <w:style w:type="paragraph" w:styleId="Fuzeile">
    <w:name w:val="footer"/>
    <w:basedOn w:val="Standard"/>
    <w:link w:val="FuzeileZchn"/>
    <w:uiPriority w:val="99"/>
    <w:unhideWhenUsed/>
    <w:rsid w:val="00DC0E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0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styleId="Hyperlink">
    <w:name w:val="Hyperlink"/>
    <w:basedOn w:val="Absatz-Standardschriftart"/>
    <w:uiPriority w:val="99"/>
    <w:unhideWhenUsed/>
    <w:rsid w:val="008A68E4"/>
    <w:rPr>
      <w:color w:val="0000FF" w:themeColor="hyperlink"/>
      <w:u w:val="single"/>
    </w:rPr>
  </w:style>
  <w:style w:type="paragraph" w:styleId="Listenabsatz">
    <w:name w:val="List Paragraph"/>
    <w:basedOn w:val="Standard"/>
    <w:uiPriority w:val="34"/>
    <w:qFormat/>
    <w:rsid w:val="008A68E4"/>
    <w:pPr>
      <w:ind w:left="720"/>
      <w:contextualSpacing/>
    </w:pPr>
  </w:style>
  <w:style w:type="table" w:styleId="Tabellenraster">
    <w:name w:val="Table Grid"/>
    <w:basedOn w:val="NormaleTabelle"/>
    <w:uiPriority w:val="59"/>
    <w:rsid w:val="001A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CA29B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A29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29BF"/>
    <w:rPr>
      <w:rFonts w:ascii="Tahoma" w:hAnsi="Tahoma" w:cs="Tahoma"/>
      <w:sz w:val="16"/>
      <w:szCs w:val="16"/>
    </w:rPr>
  </w:style>
  <w:style w:type="paragraph" w:styleId="Funotentext">
    <w:name w:val="footnote text"/>
    <w:basedOn w:val="Standard"/>
    <w:link w:val="FunotentextZchn"/>
    <w:uiPriority w:val="99"/>
    <w:semiHidden/>
    <w:unhideWhenUsed/>
    <w:rsid w:val="002677F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677FF"/>
    <w:rPr>
      <w:sz w:val="20"/>
      <w:szCs w:val="20"/>
    </w:rPr>
  </w:style>
  <w:style w:type="character" w:styleId="Funotenzeichen">
    <w:name w:val="footnote reference"/>
    <w:basedOn w:val="Absatz-Standardschriftart"/>
    <w:uiPriority w:val="99"/>
    <w:semiHidden/>
    <w:unhideWhenUsed/>
    <w:rsid w:val="002677FF"/>
    <w:rPr>
      <w:vertAlign w:val="superscript"/>
    </w:rPr>
  </w:style>
  <w:style w:type="character" w:styleId="HTMLAkronym">
    <w:name w:val="HTML Acronym"/>
    <w:basedOn w:val="Absatz-Standardschriftart"/>
    <w:uiPriority w:val="99"/>
    <w:semiHidden/>
    <w:unhideWhenUsed/>
    <w:rsid w:val="005F6DD3"/>
  </w:style>
  <w:style w:type="paragraph" w:styleId="Kopfzeile">
    <w:name w:val="header"/>
    <w:basedOn w:val="Standard"/>
    <w:link w:val="KopfzeileZchn"/>
    <w:uiPriority w:val="99"/>
    <w:unhideWhenUsed/>
    <w:rsid w:val="00DC0E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0EB7"/>
  </w:style>
  <w:style w:type="paragraph" w:styleId="Fuzeile">
    <w:name w:val="footer"/>
    <w:basedOn w:val="Standard"/>
    <w:link w:val="FuzeileZchn"/>
    <w:uiPriority w:val="99"/>
    <w:unhideWhenUsed/>
    <w:rsid w:val="00DC0E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0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319">
      <w:bodyDiv w:val="1"/>
      <w:marLeft w:val="0"/>
      <w:marRight w:val="0"/>
      <w:marTop w:val="0"/>
      <w:marBottom w:val="0"/>
      <w:divBdr>
        <w:top w:val="none" w:sz="0" w:space="0" w:color="auto"/>
        <w:left w:val="none" w:sz="0" w:space="0" w:color="auto"/>
        <w:bottom w:val="none" w:sz="0" w:space="0" w:color="auto"/>
        <w:right w:val="none" w:sz="0" w:space="0" w:color="auto"/>
      </w:divBdr>
    </w:div>
    <w:div w:id="189926342">
      <w:bodyDiv w:val="1"/>
      <w:marLeft w:val="0"/>
      <w:marRight w:val="0"/>
      <w:marTop w:val="0"/>
      <w:marBottom w:val="0"/>
      <w:divBdr>
        <w:top w:val="none" w:sz="0" w:space="0" w:color="auto"/>
        <w:left w:val="none" w:sz="0" w:space="0" w:color="auto"/>
        <w:bottom w:val="none" w:sz="0" w:space="0" w:color="auto"/>
        <w:right w:val="none" w:sz="0" w:space="0" w:color="auto"/>
      </w:divBdr>
    </w:div>
    <w:div w:id="539900651">
      <w:bodyDiv w:val="1"/>
      <w:marLeft w:val="0"/>
      <w:marRight w:val="0"/>
      <w:marTop w:val="0"/>
      <w:marBottom w:val="0"/>
      <w:divBdr>
        <w:top w:val="none" w:sz="0" w:space="0" w:color="auto"/>
        <w:left w:val="none" w:sz="0" w:space="0" w:color="auto"/>
        <w:bottom w:val="none" w:sz="0" w:space="0" w:color="auto"/>
        <w:right w:val="none" w:sz="0" w:space="0" w:color="auto"/>
      </w:divBdr>
      <w:divsChild>
        <w:div w:id="298193297">
          <w:marLeft w:val="0"/>
          <w:marRight w:val="0"/>
          <w:marTop w:val="0"/>
          <w:marBottom w:val="0"/>
          <w:divBdr>
            <w:top w:val="none" w:sz="0" w:space="0" w:color="auto"/>
            <w:left w:val="none" w:sz="0" w:space="0" w:color="auto"/>
            <w:bottom w:val="none" w:sz="0" w:space="0" w:color="auto"/>
            <w:right w:val="none" w:sz="0" w:space="0" w:color="auto"/>
          </w:divBdr>
        </w:div>
        <w:div w:id="2000571970">
          <w:marLeft w:val="0"/>
          <w:marRight w:val="0"/>
          <w:marTop w:val="0"/>
          <w:marBottom w:val="0"/>
          <w:divBdr>
            <w:top w:val="none" w:sz="0" w:space="0" w:color="auto"/>
            <w:left w:val="none" w:sz="0" w:space="0" w:color="auto"/>
            <w:bottom w:val="none" w:sz="0" w:space="0" w:color="auto"/>
            <w:right w:val="none" w:sz="0" w:space="0" w:color="auto"/>
          </w:divBdr>
        </w:div>
        <w:div w:id="1657371039">
          <w:marLeft w:val="0"/>
          <w:marRight w:val="0"/>
          <w:marTop w:val="0"/>
          <w:marBottom w:val="0"/>
          <w:divBdr>
            <w:top w:val="none" w:sz="0" w:space="0" w:color="auto"/>
            <w:left w:val="none" w:sz="0" w:space="0" w:color="auto"/>
            <w:bottom w:val="none" w:sz="0" w:space="0" w:color="auto"/>
            <w:right w:val="none" w:sz="0" w:space="0" w:color="auto"/>
          </w:divBdr>
        </w:div>
        <w:div w:id="1653871795">
          <w:marLeft w:val="0"/>
          <w:marRight w:val="0"/>
          <w:marTop w:val="0"/>
          <w:marBottom w:val="0"/>
          <w:divBdr>
            <w:top w:val="none" w:sz="0" w:space="0" w:color="auto"/>
            <w:left w:val="none" w:sz="0" w:space="0" w:color="auto"/>
            <w:bottom w:val="none" w:sz="0" w:space="0" w:color="auto"/>
            <w:right w:val="none" w:sz="0" w:space="0" w:color="auto"/>
          </w:divBdr>
        </w:div>
      </w:divsChild>
    </w:div>
    <w:div w:id="881140417">
      <w:bodyDiv w:val="1"/>
      <w:marLeft w:val="0"/>
      <w:marRight w:val="0"/>
      <w:marTop w:val="0"/>
      <w:marBottom w:val="0"/>
      <w:divBdr>
        <w:top w:val="none" w:sz="0" w:space="0" w:color="auto"/>
        <w:left w:val="none" w:sz="0" w:space="0" w:color="auto"/>
        <w:bottom w:val="none" w:sz="0" w:space="0" w:color="auto"/>
        <w:right w:val="none" w:sz="0" w:space="0" w:color="auto"/>
      </w:divBdr>
      <w:divsChild>
        <w:div w:id="1629553131">
          <w:marLeft w:val="0"/>
          <w:marRight w:val="0"/>
          <w:marTop w:val="0"/>
          <w:marBottom w:val="0"/>
          <w:divBdr>
            <w:top w:val="none" w:sz="0" w:space="0" w:color="auto"/>
            <w:left w:val="none" w:sz="0" w:space="0" w:color="auto"/>
            <w:bottom w:val="none" w:sz="0" w:space="0" w:color="auto"/>
            <w:right w:val="none" w:sz="0" w:space="0" w:color="auto"/>
          </w:divBdr>
        </w:div>
        <w:div w:id="724841107">
          <w:marLeft w:val="0"/>
          <w:marRight w:val="0"/>
          <w:marTop w:val="0"/>
          <w:marBottom w:val="0"/>
          <w:divBdr>
            <w:top w:val="none" w:sz="0" w:space="0" w:color="auto"/>
            <w:left w:val="none" w:sz="0" w:space="0" w:color="auto"/>
            <w:bottom w:val="none" w:sz="0" w:space="0" w:color="auto"/>
            <w:right w:val="none" w:sz="0" w:space="0" w:color="auto"/>
          </w:divBdr>
        </w:div>
        <w:div w:id="1288896572">
          <w:marLeft w:val="0"/>
          <w:marRight w:val="0"/>
          <w:marTop w:val="0"/>
          <w:marBottom w:val="0"/>
          <w:divBdr>
            <w:top w:val="none" w:sz="0" w:space="0" w:color="auto"/>
            <w:left w:val="none" w:sz="0" w:space="0" w:color="auto"/>
            <w:bottom w:val="none" w:sz="0" w:space="0" w:color="auto"/>
            <w:right w:val="none" w:sz="0" w:space="0" w:color="auto"/>
          </w:divBdr>
        </w:div>
        <w:div w:id="82143687">
          <w:marLeft w:val="0"/>
          <w:marRight w:val="0"/>
          <w:marTop w:val="0"/>
          <w:marBottom w:val="0"/>
          <w:divBdr>
            <w:top w:val="none" w:sz="0" w:space="0" w:color="auto"/>
            <w:left w:val="none" w:sz="0" w:space="0" w:color="auto"/>
            <w:bottom w:val="none" w:sz="0" w:space="0" w:color="auto"/>
            <w:right w:val="none" w:sz="0" w:space="0" w:color="auto"/>
          </w:divBdr>
        </w:div>
        <w:div w:id="351493468">
          <w:marLeft w:val="0"/>
          <w:marRight w:val="0"/>
          <w:marTop w:val="0"/>
          <w:marBottom w:val="0"/>
          <w:divBdr>
            <w:top w:val="none" w:sz="0" w:space="0" w:color="auto"/>
            <w:left w:val="none" w:sz="0" w:space="0" w:color="auto"/>
            <w:bottom w:val="none" w:sz="0" w:space="0" w:color="auto"/>
            <w:right w:val="none" w:sz="0" w:space="0" w:color="auto"/>
          </w:divBdr>
        </w:div>
      </w:divsChild>
    </w:div>
    <w:div w:id="1343126453">
      <w:bodyDiv w:val="1"/>
      <w:marLeft w:val="0"/>
      <w:marRight w:val="0"/>
      <w:marTop w:val="0"/>
      <w:marBottom w:val="0"/>
      <w:divBdr>
        <w:top w:val="none" w:sz="0" w:space="0" w:color="auto"/>
        <w:left w:val="none" w:sz="0" w:space="0" w:color="auto"/>
        <w:bottom w:val="none" w:sz="0" w:space="0" w:color="auto"/>
        <w:right w:val="none" w:sz="0" w:space="0" w:color="auto"/>
      </w:divBdr>
    </w:div>
    <w:div w:id="1537695841">
      <w:bodyDiv w:val="1"/>
      <w:marLeft w:val="0"/>
      <w:marRight w:val="0"/>
      <w:marTop w:val="0"/>
      <w:marBottom w:val="0"/>
      <w:divBdr>
        <w:top w:val="none" w:sz="0" w:space="0" w:color="auto"/>
        <w:left w:val="none" w:sz="0" w:space="0" w:color="auto"/>
        <w:bottom w:val="none" w:sz="0" w:space="0" w:color="auto"/>
        <w:right w:val="none" w:sz="0" w:space="0" w:color="auto"/>
      </w:divBdr>
      <w:divsChild>
        <w:div w:id="2017924864">
          <w:marLeft w:val="0"/>
          <w:marRight w:val="0"/>
          <w:marTop w:val="0"/>
          <w:marBottom w:val="0"/>
          <w:divBdr>
            <w:top w:val="none" w:sz="0" w:space="0" w:color="auto"/>
            <w:left w:val="none" w:sz="0" w:space="0" w:color="auto"/>
            <w:bottom w:val="none" w:sz="0" w:space="0" w:color="auto"/>
            <w:right w:val="none" w:sz="0" w:space="0" w:color="auto"/>
          </w:divBdr>
        </w:div>
        <w:div w:id="1608350273">
          <w:marLeft w:val="0"/>
          <w:marRight w:val="0"/>
          <w:marTop w:val="0"/>
          <w:marBottom w:val="0"/>
          <w:divBdr>
            <w:top w:val="none" w:sz="0" w:space="0" w:color="auto"/>
            <w:left w:val="none" w:sz="0" w:space="0" w:color="auto"/>
            <w:bottom w:val="none" w:sz="0" w:space="0" w:color="auto"/>
            <w:right w:val="none" w:sz="0" w:space="0" w:color="auto"/>
          </w:divBdr>
        </w:div>
        <w:div w:id="1185830109">
          <w:marLeft w:val="0"/>
          <w:marRight w:val="0"/>
          <w:marTop w:val="0"/>
          <w:marBottom w:val="0"/>
          <w:divBdr>
            <w:top w:val="none" w:sz="0" w:space="0" w:color="auto"/>
            <w:left w:val="none" w:sz="0" w:space="0" w:color="auto"/>
            <w:bottom w:val="none" w:sz="0" w:space="0" w:color="auto"/>
            <w:right w:val="none" w:sz="0" w:space="0" w:color="auto"/>
          </w:divBdr>
        </w:div>
        <w:div w:id="1175878964">
          <w:marLeft w:val="0"/>
          <w:marRight w:val="0"/>
          <w:marTop w:val="0"/>
          <w:marBottom w:val="0"/>
          <w:divBdr>
            <w:top w:val="none" w:sz="0" w:space="0" w:color="auto"/>
            <w:left w:val="none" w:sz="0" w:space="0" w:color="auto"/>
            <w:bottom w:val="none" w:sz="0" w:space="0" w:color="auto"/>
            <w:right w:val="none" w:sz="0" w:space="0" w:color="auto"/>
          </w:divBdr>
        </w:div>
        <w:div w:id="1775787909">
          <w:marLeft w:val="0"/>
          <w:marRight w:val="0"/>
          <w:marTop w:val="0"/>
          <w:marBottom w:val="0"/>
          <w:divBdr>
            <w:top w:val="none" w:sz="0" w:space="0" w:color="auto"/>
            <w:left w:val="none" w:sz="0" w:space="0" w:color="auto"/>
            <w:bottom w:val="none" w:sz="0" w:space="0" w:color="auto"/>
            <w:right w:val="none" w:sz="0" w:space="0" w:color="auto"/>
          </w:divBdr>
        </w:div>
        <w:div w:id="61525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5E502-59C3-4985-899C-B3F3BDAA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Schweigert;LBS</dc:creator>
  <cp:lastModifiedBy>M. Schweigert; LBS</cp:lastModifiedBy>
  <cp:revision>5</cp:revision>
  <dcterms:created xsi:type="dcterms:W3CDTF">2016-01-31T12:17:00Z</dcterms:created>
  <dcterms:modified xsi:type="dcterms:W3CDTF">2016-02-02T15:58:00Z</dcterms:modified>
</cp:coreProperties>
</file>